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4AFE" w14:textId="5A359F0F" w:rsidR="00D14D12" w:rsidRPr="00E4089E" w:rsidRDefault="00C95866" w:rsidP="00153877">
      <w:pPr>
        <w:jc w:val="center"/>
        <w:rPr>
          <w:b/>
          <w:bCs/>
        </w:rPr>
      </w:pPr>
      <w:r w:rsidRPr="00E4089E">
        <w:rPr>
          <w:b/>
          <w:bCs/>
        </w:rPr>
        <w:t>Modèle d’a</w:t>
      </w:r>
      <w:r w:rsidR="0047668F" w:rsidRPr="00E4089E">
        <w:rPr>
          <w:b/>
          <w:bCs/>
        </w:rPr>
        <w:t xml:space="preserve">venant </w:t>
      </w:r>
      <w:r w:rsidR="00153877" w:rsidRPr="00E4089E">
        <w:rPr>
          <w:b/>
          <w:bCs/>
        </w:rPr>
        <w:t>lié à la montée en gamme des approvisionnements</w:t>
      </w:r>
    </w:p>
    <w:p w14:paraId="7B6F98CA" w14:textId="6E5911E5" w:rsidR="00D14D12" w:rsidRDefault="009A5E48" w:rsidP="00A5672E">
      <w:r w:rsidRPr="00C95866">
        <w:rPr>
          <w:highlight w:val="lightGray"/>
        </w:rPr>
        <w:t>L</w:t>
      </w:r>
      <w:r w:rsidR="0068016B" w:rsidRPr="00C95866">
        <w:rPr>
          <w:highlight w:val="lightGray"/>
        </w:rPr>
        <w:t xml:space="preserve">es clauses surlignées </w:t>
      </w:r>
      <w:r w:rsidR="00544D35" w:rsidRPr="00C95866">
        <w:rPr>
          <w:highlight w:val="lightGray"/>
        </w:rPr>
        <w:t>en gris </w:t>
      </w:r>
      <w:r w:rsidR="0095345A" w:rsidRPr="00C95866">
        <w:rPr>
          <w:highlight w:val="lightGray"/>
        </w:rPr>
        <w:t>correspond</w:t>
      </w:r>
      <w:r w:rsidR="0068016B" w:rsidRPr="00C95866">
        <w:rPr>
          <w:highlight w:val="lightGray"/>
        </w:rPr>
        <w:t>ent</w:t>
      </w:r>
      <w:r w:rsidR="0095345A" w:rsidRPr="00C95866">
        <w:rPr>
          <w:highlight w:val="lightGray"/>
        </w:rPr>
        <w:t xml:space="preserve"> aux</w:t>
      </w:r>
      <w:r w:rsidR="00544D35" w:rsidRPr="00C95866">
        <w:rPr>
          <w:highlight w:val="lightGray"/>
        </w:rPr>
        <w:t xml:space="preserve"> obligation</w:t>
      </w:r>
      <w:r w:rsidR="0095345A" w:rsidRPr="00C95866">
        <w:rPr>
          <w:highlight w:val="lightGray"/>
        </w:rPr>
        <w:t>s</w:t>
      </w:r>
      <w:r w:rsidR="00544D35" w:rsidRPr="00C95866">
        <w:rPr>
          <w:highlight w:val="lightGray"/>
        </w:rPr>
        <w:t xml:space="preserve"> légale</w:t>
      </w:r>
      <w:r w:rsidR="0095345A" w:rsidRPr="00C95866">
        <w:rPr>
          <w:highlight w:val="lightGray"/>
        </w:rPr>
        <w:t xml:space="preserve">s. </w:t>
      </w:r>
      <w:r w:rsidR="0068016B" w:rsidRPr="00C95866">
        <w:rPr>
          <w:highlight w:val="lightGray"/>
        </w:rPr>
        <w:t xml:space="preserve">Les autres clauses sont proposées par la </w:t>
      </w:r>
      <w:r w:rsidR="00A5672E" w:rsidRPr="00C95866">
        <w:rPr>
          <w:highlight w:val="lightGray"/>
        </w:rPr>
        <w:t xml:space="preserve">Fédération nationale des Ogec </w:t>
      </w:r>
      <w:r w:rsidR="0095345A" w:rsidRPr="00C95866">
        <w:rPr>
          <w:highlight w:val="lightGray"/>
        </w:rPr>
        <w:t xml:space="preserve">pour mettre en œuvre </w:t>
      </w:r>
      <w:r w:rsidRPr="00C95866">
        <w:rPr>
          <w:highlight w:val="lightGray"/>
        </w:rPr>
        <w:t xml:space="preserve">la montée en gamme des approvisionnements </w:t>
      </w:r>
      <w:r w:rsidR="0095345A" w:rsidRPr="00C95866">
        <w:rPr>
          <w:highlight w:val="lightGray"/>
        </w:rPr>
        <w:t>de manière efficace.</w:t>
      </w:r>
    </w:p>
    <w:p w14:paraId="6CBAECEB" w14:textId="6F49BA19" w:rsidR="005F2630" w:rsidRPr="0068016B" w:rsidRDefault="005F2630" w:rsidP="00A5672E">
      <w:r w:rsidRPr="00C95866">
        <w:t>Les développements &lt;entre crochets&gt; sont optionnels ou à adapter ; les éléments [•] sont à compléter.</w:t>
      </w:r>
    </w:p>
    <w:p w14:paraId="1F6985AA" w14:textId="133B6635" w:rsidR="00544D35" w:rsidRDefault="00544D35" w:rsidP="00D14D12"/>
    <w:p w14:paraId="20F7EE8C" w14:textId="6E6AA88C" w:rsidR="00E401D9" w:rsidRDefault="00E401D9">
      <w:pPr>
        <w:rPr>
          <w:b/>
          <w:bCs/>
        </w:rPr>
      </w:pPr>
      <w:r>
        <w:rPr>
          <w:b/>
          <w:bCs/>
        </w:rPr>
        <w:t xml:space="preserve">Entre </w:t>
      </w:r>
    </w:p>
    <w:p w14:paraId="6F258695" w14:textId="5DBFCDA6" w:rsidR="00E9139E" w:rsidRDefault="00E9139E" w:rsidP="00E9139E">
      <w:r w:rsidRPr="00894D46">
        <w:rPr>
          <w:b/>
          <w:bCs/>
        </w:rPr>
        <w:t>La société</w:t>
      </w:r>
      <w:r>
        <w:t xml:space="preserve"> </w:t>
      </w:r>
      <w:r w:rsidRPr="001D298D">
        <w:t>[•]</w:t>
      </w:r>
    </w:p>
    <w:p w14:paraId="0DA8E27D" w14:textId="24344DF3" w:rsidR="00E9139E" w:rsidRDefault="00E9139E" w:rsidP="00E9139E">
      <w:r w:rsidRPr="001D298D">
        <w:t>[•]</w:t>
      </w:r>
      <w:r>
        <w:t xml:space="preserve"> au capital de </w:t>
      </w:r>
      <w:r w:rsidRPr="001D298D">
        <w:t>[•]</w:t>
      </w:r>
      <w:r>
        <w:t>,</w:t>
      </w:r>
    </w:p>
    <w:p w14:paraId="23059FAB" w14:textId="45C25E8F" w:rsidR="00E9139E" w:rsidRDefault="00E9139E" w:rsidP="00E9139E">
      <w:r>
        <w:t xml:space="preserve">Dont le siège social est situé </w:t>
      </w:r>
      <w:r w:rsidRPr="001D298D">
        <w:t>[•]</w:t>
      </w:r>
    </w:p>
    <w:p w14:paraId="6F375CDD" w14:textId="3ECB9C9F" w:rsidR="00E9139E" w:rsidRDefault="00E9139E" w:rsidP="00E9139E">
      <w:r>
        <w:t xml:space="preserve">Immatriculée au Registre du </w:t>
      </w:r>
      <w:r w:rsidR="008B4A7E">
        <w:t>C</w:t>
      </w:r>
      <w:r>
        <w:t xml:space="preserve">ommerce et des Sociétés de </w:t>
      </w:r>
      <w:r w:rsidRPr="001D298D">
        <w:t>[•]</w:t>
      </w:r>
      <w:r>
        <w:t xml:space="preserve"> sous le numéro </w:t>
      </w:r>
      <w:r w:rsidRPr="001D298D">
        <w:t>[•]</w:t>
      </w:r>
    </w:p>
    <w:p w14:paraId="26CC2533" w14:textId="593F4851" w:rsidR="00E9139E" w:rsidRDefault="00E9139E" w:rsidP="00894D46">
      <w:r>
        <w:t xml:space="preserve">Représentée par </w:t>
      </w:r>
      <w:r w:rsidRPr="001D298D">
        <w:t>[•]</w:t>
      </w:r>
      <w:r>
        <w:t xml:space="preserve">, son </w:t>
      </w:r>
      <w:r w:rsidRPr="001D298D">
        <w:t>[•]</w:t>
      </w:r>
      <w:r>
        <w:t>.</w:t>
      </w:r>
    </w:p>
    <w:p w14:paraId="0AD13FBB" w14:textId="77777777" w:rsidR="00894D46" w:rsidRDefault="00894D46"/>
    <w:p w14:paraId="5FE95905" w14:textId="1A6AB5E8" w:rsidR="00E401D9" w:rsidRDefault="00E401D9">
      <w:pPr>
        <w:rPr>
          <w:b/>
          <w:bCs/>
        </w:rPr>
      </w:pPr>
      <w:r>
        <w:rPr>
          <w:b/>
          <w:bCs/>
        </w:rPr>
        <w:t>Et</w:t>
      </w:r>
    </w:p>
    <w:p w14:paraId="2C7E6CB6" w14:textId="2A3A726B" w:rsidR="001D298D" w:rsidRPr="001D298D" w:rsidRDefault="001D298D" w:rsidP="001D298D">
      <w:r w:rsidRPr="001D298D">
        <w:rPr>
          <w:b/>
          <w:bCs/>
        </w:rPr>
        <w:t xml:space="preserve">L’Ogec </w:t>
      </w:r>
      <w:r w:rsidR="008B4A7E" w:rsidRPr="001D298D">
        <w:t>[•]</w:t>
      </w:r>
      <w:r w:rsidRPr="001D298D">
        <w:t>, association régie par la loi du 1er juillet 1901, déclarée à la préfecture de [•] le [•] publiée au Journal officiel du [•], dont le siège social est à [•]</w:t>
      </w:r>
    </w:p>
    <w:p w14:paraId="798BC41E" w14:textId="091D3C57" w:rsidR="00E401D9" w:rsidRPr="001D298D" w:rsidRDefault="001D298D" w:rsidP="001D298D">
      <w:r w:rsidRPr="001D298D">
        <w:t>Représenté par [•] en qualité de Président(e) dûment habilité(e)</w:t>
      </w:r>
    </w:p>
    <w:p w14:paraId="265AF429" w14:textId="77777777" w:rsidR="0079768D" w:rsidRDefault="0079768D">
      <w:pPr>
        <w:rPr>
          <w:b/>
          <w:bCs/>
        </w:rPr>
      </w:pPr>
    </w:p>
    <w:p w14:paraId="7D53CF06" w14:textId="75750C04" w:rsidR="00894D46" w:rsidRDefault="00894D46">
      <w:pPr>
        <w:rPr>
          <w:b/>
          <w:bCs/>
        </w:rPr>
      </w:pPr>
      <w:r>
        <w:rPr>
          <w:b/>
          <w:bCs/>
        </w:rPr>
        <w:t>Préambule</w:t>
      </w:r>
    </w:p>
    <w:p w14:paraId="34A7F079" w14:textId="5DA7699F" w:rsidR="00894D46" w:rsidRPr="0079768D" w:rsidRDefault="00894D46" w:rsidP="00112751">
      <w:r w:rsidRPr="0079768D">
        <w:t xml:space="preserve">La loi </w:t>
      </w:r>
      <w:proofErr w:type="spellStart"/>
      <w:r w:rsidRPr="0079768D">
        <w:t>Egalim</w:t>
      </w:r>
      <w:proofErr w:type="spellEnd"/>
      <w:r w:rsidRPr="0079768D">
        <w:t xml:space="preserve"> </w:t>
      </w:r>
      <w:r w:rsidR="00544792">
        <w:t xml:space="preserve">introduit </w:t>
      </w:r>
      <w:r w:rsidR="003D0987">
        <w:t xml:space="preserve">de nouvelles obligations pour les cantines scolaires, dont </w:t>
      </w:r>
      <w:r w:rsidR="00C55146" w:rsidRPr="0079768D">
        <w:t xml:space="preserve">une montée en gamme des approvisionnements dans les cantines scolaires </w:t>
      </w:r>
      <w:r w:rsidR="0079768D" w:rsidRPr="0079768D">
        <w:t>à partir du 1</w:t>
      </w:r>
      <w:r w:rsidR="0079768D" w:rsidRPr="0079768D">
        <w:rPr>
          <w:vertAlign w:val="superscript"/>
        </w:rPr>
        <w:t>er</w:t>
      </w:r>
      <w:r w:rsidR="0079768D" w:rsidRPr="0079768D">
        <w:t xml:space="preserve"> janvier 2022.</w:t>
      </w:r>
      <w:r w:rsidRPr="0079768D">
        <w:t xml:space="preserve"> </w:t>
      </w:r>
      <w:r w:rsidR="00112751">
        <w:t xml:space="preserve">Cet avenant a pour objectif </w:t>
      </w:r>
      <w:r w:rsidR="007147CE">
        <w:t xml:space="preserve">d’encadrer </w:t>
      </w:r>
      <w:r w:rsidR="00112751">
        <w:t>l</w:t>
      </w:r>
      <w:r w:rsidR="00A27003">
        <w:t xml:space="preserve">es modalités de mise en œuvre de </w:t>
      </w:r>
      <w:r w:rsidR="00022C55">
        <w:t>cette loi.</w:t>
      </w:r>
    </w:p>
    <w:p w14:paraId="023FF3F2" w14:textId="49D6E17B" w:rsidR="00894D46" w:rsidRDefault="00894D46">
      <w:pPr>
        <w:rPr>
          <w:b/>
          <w:bCs/>
        </w:rPr>
      </w:pPr>
    </w:p>
    <w:p w14:paraId="193ADDBF" w14:textId="528FC9F0" w:rsidR="008D0DD6" w:rsidRPr="00DC0DA0" w:rsidRDefault="008D0DD6" w:rsidP="00DC0DA0">
      <w:pPr>
        <w:pStyle w:val="Paragraphedeliste"/>
        <w:numPr>
          <w:ilvl w:val="0"/>
          <w:numId w:val="4"/>
        </w:numPr>
        <w:rPr>
          <w:b/>
          <w:bCs/>
        </w:rPr>
      </w:pPr>
      <w:r w:rsidRPr="00DC0DA0">
        <w:rPr>
          <w:b/>
          <w:bCs/>
        </w:rPr>
        <w:t>Qualité des denrées alimentaires</w:t>
      </w:r>
    </w:p>
    <w:p w14:paraId="1328521A" w14:textId="15C1B223" w:rsidR="008A743F" w:rsidRDefault="008D0DD6" w:rsidP="00544792">
      <w:r w:rsidRPr="00E1384B">
        <w:rPr>
          <w:highlight w:val="lightGray"/>
        </w:rPr>
        <w:t xml:space="preserve">Les matières premières entrant dans la préparation des repas </w:t>
      </w:r>
      <w:r w:rsidR="00610F38">
        <w:rPr>
          <w:highlight w:val="lightGray"/>
        </w:rPr>
        <w:t xml:space="preserve">doivent </w:t>
      </w:r>
      <w:r w:rsidRPr="00E1384B">
        <w:rPr>
          <w:highlight w:val="lightGray"/>
        </w:rPr>
        <w:t xml:space="preserve">favoriser une alimentation saine, sure et durable pour tous et </w:t>
      </w:r>
      <w:r w:rsidR="00610F38">
        <w:rPr>
          <w:highlight w:val="lightGray"/>
        </w:rPr>
        <w:t>doivent</w:t>
      </w:r>
      <w:r w:rsidR="00662089" w:rsidRPr="00E1384B">
        <w:rPr>
          <w:highlight w:val="lightGray"/>
        </w:rPr>
        <w:t xml:space="preserve">, pour </w:t>
      </w:r>
      <w:r w:rsidRPr="00E1384B">
        <w:rPr>
          <w:highlight w:val="lightGray"/>
        </w:rPr>
        <w:t xml:space="preserve">respecter les exigences de la loi </w:t>
      </w:r>
      <w:proofErr w:type="spellStart"/>
      <w:r w:rsidRPr="00E1384B">
        <w:rPr>
          <w:highlight w:val="lightGray"/>
        </w:rPr>
        <w:t>Egalim</w:t>
      </w:r>
      <w:proofErr w:type="spellEnd"/>
      <w:r w:rsidR="00662089" w:rsidRPr="00E1384B">
        <w:rPr>
          <w:highlight w:val="lightGray"/>
        </w:rPr>
        <w:t xml:space="preserve">, inclure une part égale </w:t>
      </w:r>
      <w:r w:rsidR="005D2E79" w:rsidRPr="00E1384B">
        <w:rPr>
          <w:highlight w:val="lightGray"/>
        </w:rPr>
        <w:t xml:space="preserve">au moins égale </w:t>
      </w:r>
      <w:r w:rsidR="00662089" w:rsidRPr="00E1384B">
        <w:rPr>
          <w:highlight w:val="lightGray"/>
        </w:rPr>
        <w:t>à</w:t>
      </w:r>
      <w:r w:rsidRPr="00E1384B">
        <w:rPr>
          <w:highlight w:val="lightGray"/>
        </w:rPr>
        <w:t xml:space="preserve"> 50% de produits durables et de qualité sous signe d’identification de l’origine et de la qualité (SIQO) dont au moins 20% de produits bio </w:t>
      </w:r>
      <w:r w:rsidR="003321C6" w:rsidRPr="00E1384B">
        <w:rPr>
          <w:highlight w:val="lightGray"/>
        </w:rPr>
        <w:t xml:space="preserve">(en valeur HT d’achats en €, calculé par </w:t>
      </w:r>
      <w:commentRangeStart w:id="0"/>
      <w:r w:rsidR="003321C6" w:rsidRPr="00E1384B">
        <w:rPr>
          <w:highlight w:val="lightGray"/>
        </w:rPr>
        <w:t>année civile</w:t>
      </w:r>
      <w:commentRangeEnd w:id="0"/>
      <w:r w:rsidR="00804F72">
        <w:rPr>
          <w:rStyle w:val="Marquedecommentaire"/>
        </w:rPr>
        <w:commentReference w:id="0"/>
      </w:r>
      <w:r w:rsidR="003321C6" w:rsidRPr="00E1384B">
        <w:rPr>
          <w:highlight w:val="lightGray"/>
        </w:rPr>
        <w:t>)</w:t>
      </w:r>
      <w:r w:rsidR="00DC0DA0" w:rsidRPr="00E1384B">
        <w:rPr>
          <w:highlight w:val="lightGray"/>
        </w:rPr>
        <w:t>.</w:t>
      </w:r>
    </w:p>
    <w:p w14:paraId="46DF0F5D" w14:textId="0F9C6043" w:rsidR="008D0DD6" w:rsidRDefault="008D0DD6" w:rsidP="008D0DD6">
      <w:r w:rsidRPr="00E1384B">
        <w:rPr>
          <w:highlight w:val="lightGray"/>
        </w:rPr>
        <w:t xml:space="preserve">Les produits Bleu Blanc Cœur </w:t>
      </w:r>
      <w:r w:rsidR="00812D46">
        <w:rPr>
          <w:highlight w:val="lightGray"/>
        </w:rPr>
        <w:t xml:space="preserve">peuvent </w:t>
      </w:r>
      <w:r w:rsidRPr="00E1384B">
        <w:rPr>
          <w:highlight w:val="lightGray"/>
        </w:rPr>
        <w:t xml:space="preserve">entrer dans </w:t>
      </w:r>
      <w:r w:rsidR="00884229" w:rsidRPr="00E1384B">
        <w:rPr>
          <w:highlight w:val="lightGray"/>
        </w:rPr>
        <w:t xml:space="preserve">la part </w:t>
      </w:r>
      <w:r w:rsidRPr="00E1384B">
        <w:rPr>
          <w:highlight w:val="lightGray"/>
        </w:rPr>
        <w:t xml:space="preserve">des 50% à condition que la société de restauration soit en mesure de montrer que ces produits ont un moindre coût </w:t>
      </w:r>
      <w:r w:rsidR="00290214" w:rsidRPr="00E1384B">
        <w:rPr>
          <w:highlight w:val="lightGray"/>
        </w:rPr>
        <w:t xml:space="preserve">imputé aux </w:t>
      </w:r>
      <w:r w:rsidRPr="00E1384B">
        <w:rPr>
          <w:highlight w:val="lightGray"/>
        </w:rPr>
        <w:t>externalités environnementales.</w:t>
      </w:r>
      <w:r>
        <w:t xml:space="preserve"> </w:t>
      </w:r>
    </w:p>
    <w:p w14:paraId="765D4E28" w14:textId="5A201473" w:rsidR="008D0DD6" w:rsidRDefault="00417F29" w:rsidP="008D0DD6">
      <w:r>
        <w:t>D’une manière générale, l</w:t>
      </w:r>
      <w:r w:rsidR="008D0DD6" w:rsidRPr="00346AE3">
        <w:t xml:space="preserve">es produits frais et de saison </w:t>
      </w:r>
      <w:r w:rsidR="00812D46">
        <w:t xml:space="preserve">sont </w:t>
      </w:r>
      <w:r w:rsidR="00691195">
        <w:t xml:space="preserve">à privilégier autant que possible </w:t>
      </w:r>
      <w:r w:rsidR="008D0DD6" w:rsidRPr="00346AE3">
        <w:t>ainsi qu’une filière d’approvisionnement courte</w:t>
      </w:r>
      <w:r w:rsidR="00CD580B">
        <w:t>, valorisant les producteurs locaux et régionaux</w:t>
      </w:r>
      <w:r w:rsidR="008D0DD6" w:rsidRPr="00346AE3">
        <w:t>.</w:t>
      </w:r>
    </w:p>
    <w:p w14:paraId="748C5089" w14:textId="5FDE1361" w:rsidR="008D0DD6" w:rsidRDefault="008D0DD6" w:rsidP="008D0DD6">
      <w:r>
        <w:lastRenderedPageBreak/>
        <w:t xml:space="preserve">Les engagements en terme de qualité des denrées alimentaires sont </w:t>
      </w:r>
      <w:r w:rsidR="000963BB">
        <w:t xml:space="preserve">pris de manière trimestrielle </w:t>
      </w:r>
      <w:r w:rsidR="00EB31E5">
        <w:t xml:space="preserve">et </w:t>
      </w:r>
      <w:r>
        <w:t>détaillés dans le tableau en annexe</w:t>
      </w:r>
      <w:r w:rsidR="00DF6123">
        <w:t xml:space="preserve"> 1</w:t>
      </w:r>
      <w:r>
        <w:t>.</w:t>
      </w:r>
    </w:p>
    <w:p w14:paraId="1E6E8842" w14:textId="6C69929E" w:rsidR="00AB7CD1" w:rsidRPr="00D47031" w:rsidRDefault="00166919" w:rsidP="00AB7CD1">
      <w:commentRangeStart w:id="1"/>
      <w:r w:rsidRPr="00D47031">
        <w:t>Le prestataire s’engage par ailleurs à</w:t>
      </w:r>
      <w:commentRangeEnd w:id="1"/>
      <w:r w:rsidR="00AB7CD1" w:rsidRPr="00D47031">
        <w:rPr>
          <w:rStyle w:val="Marquedecommentaire"/>
        </w:rPr>
        <w:commentReference w:id="1"/>
      </w:r>
      <w:r w:rsidRPr="00D47031">
        <w:t> </w:t>
      </w:r>
      <w:r w:rsidR="00AB7CD1" w:rsidRPr="00D47031">
        <w:t>:</w:t>
      </w:r>
    </w:p>
    <w:p w14:paraId="2F1102E2" w14:textId="5358FA5B" w:rsidR="003C301F" w:rsidRPr="0072065A" w:rsidRDefault="00E15B6C" w:rsidP="006B385E">
      <w:pPr>
        <w:pStyle w:val="Paragraphedeliste"/>
        <w:numPr>
          <w:ilvl w:val="0"/>
          <w:numId w:val="5"/>
        </w:numPr>
        <w:rPr>
          <w:i/>
          <w:iCs/>
        </w:rPr>
      </w:pPr>
      <w:r w:rsidRPr="0072065A">
        <w:rPr>
          <w:i/>
          <w:iCs/>
        </w:rPr>
        <w:t>&lt;</w:t>
      </w:r>
      <w:r w:rsidR="002E3961" w:rsidRPr="0072065A">
        <w:rPr>
          <w:i/>
          <w:iCs/>
        </w:rPr>
        <w:t xml:space="preserve">100% de </w:t>
      </w:r>
      <w:r w:rsidR="00BF6591" w:rsidRPr="0072065A">
        <w:rPr>
          <w:i/>
          <w:iCs/>
        </w:rPr>
        <w:t>viande française</w:t>
      </w:r>
    </w:p>
    <w:p w14:paraId="1B5DA0F8" w14:textId="41C74F34" w:rsidR="00B65807" w:rsidRDefault="002E3961" w:rsidP="00166919">
      <w:pPr>
        <w:pStyle w:val="Paragraphedeliste"/>
        <w:numPr>
          <w:ilvl w:val="0"/>
          <w:numId w:val="5"/>
        </w:numPr>
        <w:rPr>
          <w:i/>
          <w:iCs/>
        </w:rPr>
      </w:pPr>
      <w:r w:rsidRPr="00E15B6C">
        <w:rPr>
          <w:i/>
          <w:iCs/>
        </w:rPr>
        <w:t xml:space="preserve">100% de </w:t>
      </w:r>
      <w:r w:rsidR="00B65807" w:rsidRPr="00E15B6C">
        <w:rPr>
          <w:i/>
          <w:iCs/>
        </w:rPr>
        <w:t>f</w:t>
      </w:r>
      <w:r w:rsidR="006042BF" w:rsidRPr="00E15B6C">
        <w:rPr>
          <w:i/>
          <w:iCs/>
        </w:rPr>
        <w:t>ro</w:t>
      </w:r>
      <w:r w:rsidR="00B65807" w:rsidRPr="00E15B6C">
        <w:rPr>
          <w:i/>
          <w:iCs/>
        </w:rPr>
        <w:t xml:space="preserve">mage à la coupe </w:t>
      </w:r>
    </w:p>
    <w:p w14:paraId="163659D5" w14:textId="679BA82A" w:rsidR="006B385E" w:rsidRPr="00E15B6C" w:rsidRDefault="006B385E" w:rsidP="00FA5824">
      <w:pPr>
        <w:pStyle w:val="Paragraphedeliste"/>
        <w:numPr>
          <w:ilvl w:val="0"/>
          <w:numId w:val="5"/>
        </w:numPr>
        <w:rPr>
          <w:i/>
          <w:iCs/>
        </w:rPr>
      </w:pPr>
      <w:r>
        <w:rPr>
          <w:i/>
          <w:iCs/>
        </w:rPr>
        <w:t xml:space="preserve">Produits bio </w:t>
      </w:r>
      <w:r w:rsidR="00BE6605">
        <w:rPr>
          <w:i/>
          <w:iCs/>
        </w:rPr>
        <w:t xml:space="preserve">100% </w:t>
      </w:r>
      <w:r>
        <w:rPr>
          <w:i/>
          <w:iCs/>
        </w:rPr>
        <w:t xml:space="preserve">français </w:t>
      </w:r>
    </w:p>
    <w:p w14:paraId="587463EC" w14:textId="2DA77B85" w:rsidR="00E15B6C" w:rsidRDefault="006042BF" w:rsidP="00E15B6C">
      <w:pPr>
        <w:pStyle w:val="Paragraphedeliste"/>
        <w:numPr>
          <w:ilvl w:val="0"/>
          <w:numId w:val="5"/>
        </w:numPr>
        <w:rPr>
          <w:i/>
          <w:iCs/>
        </w:rPr>
      </w:pPr>
      <w:r w:rsidRPr="00E15B6C">
        <w:rPr>
          <w:i/>
          <w:iCs/>
        </w:rPr>
        <w:t>Etc.</w:t>
      </w:r>
      <w:r w:rsidR="00AB7579" w:rsidRPr="00E15B6C">
        <w:rPr>
          <w:i/>
          <w:iCs/>
        </w:rPr>
        <w:t>&gt;</w:t>
      </w:r>
    </w:p>
    <w:p w14:paraId="0D3A5B36" w14:textId="4FD771E5" w:rsidR="00E15B6C" w:rsidRPr="00FC48BC" w:rsidRDefault="00FC48BC" w:rsidP="00E15B6C">
      <w:r w:rsidRPr="00FC48BC">
        <w:t>Les menus hebdomadaires sont dotés de pictogrammes pour identifier les différents marqueurs qualité (produits bio, produits labellisés, produits « fait maison », etc.).</w:t>
      </w:r>
    </w:p>
    <w:p w14:paraId="67D6A506" w14:textId="133A0A40" w:rsidR="00FD2162" w:rsidRDefault="00FD2162" w:rsidP="007D48FF">
      <w:pPr>
        <w:pStyle w:val="Paragraphedeliste"/>
        <w:numPr>
          <w:ilvl w:val="0"/>
          <w:numId w:val="4"/>
        </w:numPr>
        <w:rPr>
          <w:b/>
          <w:bCs/>
        </w:rPr>
      </w:pPr>
      <w:r>
        <w:rPr>
          <w:b/>
          <w:bCs/>
        </w:rPr>
        <w:t>Prix</w:t>
      </w:r>
    </w:p>
    <w:p w14:paraId="7DB5D543" w14:textId="038860FD" w:rsidR="00742C27" w:rsidRDefault="008D0DD6" w:rsidP="00820962">
      <w:r>
        <w:t>A partir du 1</w:t>
      </w:r>
      <w:r w:rsidRPr="008D0DD6">
        <w:rPr>
          <w:vertAlign w:val="superscript"/>
        </w:rPr>
        <w:t>er</w:t>
      </w:r>
      <w:r>
        <w:t xml:space="preserve"> janvier 2022, les </w:t>
      </w:r>
      <w:r w:rsidR="00A22250">
        <w:t>denrées alimentaires</w:t>
      </w:r>
      <w:r>
        <w:t xml:space="preserve"> </w:t>
      </w:r>
      <w:r w:rsidR="00812D46">
        <w:t xml:space="preserve">sont </w:t>
      </w:r>
      <w:r>
        <w:t>facturées</w:t>
      </w:r>
      <w:r w:rsidR="0097073A" w:rsidRPr="001D298D">
        <w:t xml:space="preserve"> </w:t>
      </w:r>
      <w:r w:rsidR="00742C27">
        <w:t>au tarif suivant </w:t>
      </w:r>
      <w:r w:rsidR="00820962" w:rsidRPr="00820962">
        <w:rPr>
          <w:i/>
          <w:iCs/>
        </w:rPr>
        <w:t>&lt;à adapter en fonction des convives du restaurant&gt;</w:t>
      </w:r>
      <w:r w:rsidR="00820962">
        <w:t xml:space="preserve"> </w:t>
      </w:r>
      <w:r w:rsidR="00742C27">
        <w:t>:</w:t>
      </w:r>
    </w:p>
    <w:p w14:paraId="4C90F210" w14:textId="786E07D2" w:rsidR="00742C27" w:rsidRDefault="0097073A" w:rsidP="00742C27">
      <w:pPr>
        <w:pStyle w:val="Paragraphedeliste"/>
        <w:numPr>
          <w:ilvl w:val="0"/>
          <w:numId w:val="3"/>
        </w:numPr>
      </w:pPr>
      <w:r w:rsidRPr="001D298D">
        <w:t>[•]</w:t>
      </w:r>
      <w:r>
        <w:t xml:space="preserve"> par repas</w:t>
      </w:r>
      <w:r w:rsidR="00742C27">
        <w:t xml:space="preserve"> maternelle</w:t>
      </w:r>
    </w:p>
    <w:p w14:paraId="3BE7EB44" w14:textId="66188780" w:rsidR="00FD2162" w:rsidRDefault="00742C27" w:rsidP="00742C27">
      <w:pPr>
        <w:pStyle w:val="Paragraphedeliste"/>
        <w:numPr>
          <w:ilvl w:val="0"/>
          <w:numId w:val="3"/>
        </w:numPr>
      </w:pPr>
      <w:r w:rsidRPr="001D298D">
        <w:t>[•]</w:t>
      </w:r>
      <w:r>
        <w:t xml:space="preserve"> par repas élémentaire</w:t>
      </w:r>
    </w:p>
    <w:p w14:paraId="561317C2" w14:textId="54A22A15" w:rsidR="00742C27" w:rsidRDefault="00742C27" w:rsidP="00742C27">
      <w:pPr>
        <w:pStyle w:val="Paragraphedeliste"/>
        <w:numPr>
          <w:ilvl w:val="0"/>
          <w:numId w:val="3"/>
        </w:numPr>
      </w:pPr>
      <w:r w:rsidRPr="001D298D">
        <w:t>[•]</w:t>
      </w:r>
      <w:r>
        <w:t xml:space="preserve"> par repas collégien</w:t>
      </w:r>
    </w:p>
    <w:p w14:paraId="6C353A46" w14:textId="77E7DD85" w:rsidR="00742C27" w:rsidRDefault="00742C27" w:rsidP="00742C27">
      <w:pPr>
        <w:pStyle w:val="Paragraphedeliste"/>
        <w:numPr>
          <w:ilvl w:val="0"/>
          <w:numId w:val="3"/>
        </w:numPr>
      </w:pPr>
      <w:r w:rsidRPr="001D298D">
        <w:t>[•]</w:t>
      </w:r>
      <w:r>
        <w:t xml:space="preserve"> par repas lycéen</w:t>
      </w:r>
    </w:p>
    <w:p w14:paraId="152A3892" w14:textId="2AFACCBB" w:rsidR="00742C27" w:rsidRDefault="00742C27" w:rsidP="00742C27">
      <w:pPr>
        <w:pStyle w:val="Paragraphedeliste"/>
        <w:numPr>
          <w:ilvl w:val="0"/>
          <w:numId w:val="3"/>
        </w:numPr>
      </w:pPr>
      <w:r w:rsidRPr="001D298D">
        <w:t>[•]</w:t>
      </w:r>
      <w:r>
        <w:t xml:space="preserve"> par repas </w:t>
      </w:r>
      <w:r w:rsidR="00A935A8">
        <w:t>a</w:t>
      </w:r>
      <w:r>
        <w:t>dulte</w:t>
      </w:r>
    </w:p>
    <w:p w14:paraId="728CF819" w14:textId="77777777" w:rsidR="006B518F" w:rsidRPr="00A22250" w:rsidRDefault="006B518F" w:rsidP="006B518F">
      <w:pPr>
        <w:pStyle w:val="Paragraphedeliste"/>
      </w:pPr>
    </w:p>
    <w:p w14:paraId="464ED643" w14:textId="4A782748" w:rsidR="00CB541F" w:rsidRPr="00B2372B" w:rsidRDefault="007D48FF" w:rsidP="007D48FF">
      <w:pPr>
        <w:pStyle w:val="Paragraphedeliste"/>
        <w:numPr>
          <w:ilvl w:val="0"/>
          <w:numId w:val="4"/>
        </w:numPr>
        <w:rPr>
          <w:b/>
          <w:bCs/>
        </w:rPr>
      </w:pPr>
      <w:r>
        <w:rPr>
          <w:b/>
          <w:bCs/>
        </w:rPr>
        <w:t xml:space="preserve">Diversification des protéines </w:t>
      </w:r>
    </w:p>
    <w:p w14:paraId="6D2B45A1" w14:textId="44E1B05B" w:rsidR="00D11DD9" w:rsidRPr="00E1384B" w:rsidRDefault="00D11DD9">
      <w:pPr>
        <w:rPr>
          <w:highlight w:val="lightGray"/>
        </w:rPr>
      </w:pPr>
      <w:r w:rsidRPr="00E1384B">
        <w:rPr>
          <w:highlight w:val="lightGray"/>
        </w:rPr>
        <w:t>&lt;En cas de menu unique</w:t>
      </w:r>
      <w:r w:rsidR="00974957" w:rsidRPr="00E1384B">
        <w:rPr>
          <w:highlight w:val="lightGray"/>
        </w:rPr>
        <w:t> :</w:t>
      </w:r>
    </w:p>
    <w:p w14:paraId="34FD7952" w14:textId="4811307A" w:rsidR="00D11DD9" w:rsidRPr="00E1384B" w:rsidRDefault="00D11DD9">
      <w:pPr>
        <w:rPr>
          <w:highlight w:val="lightGray"/>
        </w:rPr>
      </w:pPr>
      <w:r w:rsidRPr="00E1384B">
        <w:rPr>
          <w:highlight w:val="lightGray"/>
        </w:rPr>
        <w:t>Un menu végétarien</w:t>
      </w:r>
      <w:r w:rsidR="00FA5B8C" w:rsidRPr="00E1384B">
        <w:rPr>
          <w:highlight w:val="lightGray"/>
        </w:rPr>
        <w:t>, sans viande ni poisson,</w:t>
      </w:r>
      <w:r w:rsidRPr="00E1384B">
        <w:rPr>
          <w:highlight w:val="lightGray"/>
        </w:rPr>
        <w:t xml:space="preserve"> est proposé une fois par semaine.&gt;</w:t>
      </w:r>
      <w:r w:rsidR="00C6551E" w:rsidRPr="00E1384B">
        <w:rPr>
          <w:highlight w:val="lightGray"/>
        </w:rPr>
        <w:t xml:space="preserve"> </w:t>
      </w:r>
    </w:p>
    <w:p w14:paraId="4F4B6699" w14:textId="7AA1A98A" w:rsidR="00D11DD9" w:rsidRPr="00E1384B" w:rsidRDefault="00D11DD9">
      <w:pPr>
        <w:rPr>
          <w:highlight w:val="lightGray"/>
        </w:rPr>
      </w:pPr>
      <w:r w:rsidRPr="00E1384B">
        <w:rPr>
          <w:highlight w:val="lightGray"/>
        </w:rPr>
        <w:t>&lt;</w:t>
      </w:r>
      <w:r w:rsidR="00974957" w:rsidRPr="00E1384B">
        <w:rPr>
          <w:highlight w:val="lightGray"/>
        </w:rPr>
        <w:t xml:space="preserve">Si plusieurs menus sont proposés : </w:t>
      </w:r>
    </w:p>
    <w:p w14:paraId="4C00D7C9" w14:textId="567D8F29" w:rsidR="00B348A7" w:rsidRDefault="00E43A54">
      <w:r w:rsidRPr="00E1384B">
        <w:rPr>
          <w:highlight w:val="lightGray"/>
        </w:rPr>
        <w:t xml:space="preserve">Un </w:t>
      </w:r>
      <w:r w:rsidR="00155B08" w:rsidRPr="00E1384B">
        <w:rPr>
          <w:highlight w:val="lightGray"/>
        </w:rPr>
        <w:t>menu végétarien</w:t>
      </w:r>
      <w:r w:rsidR="00FA5B8C" w:rsidRPr="00E1384B">
        <w:rPr>
          <w:highlight w:val="lightGray"/>
        </w:rPr>
        <w:t>, sans viande ni poisson,</w:t>
      </w:r>
      <w:r w:rsidR="00155B08" w:rsidRPr="00E1384B">
        <w:rPr>
          <w:highlight w:val="lightGray"/>
        </w:rPr>
        <w:t xml:space="preserve"> </w:t>
      </w:r>
      <w:r w:rsidRPr="00E1384B">
        <w:rPr>
          <w:highlight w:val="lightGray"/>
        </w:rPr>
        <w:t xml:space="preserve">est proposé une fois par semaine, en </w:t>
      </w:r>
      <w:r w:rsidR="00155B08" w:rsidRPr="00E1384B">
        <w:rPr>
          <w:highlight w:val="lightGray"/>
        </w:rPr>
        <w:t xml:space="preserve">alternative </w:t>
      </w:r>
      <w:r w:rsidRPr="00E1384B">
        <w:rPr>
          <w:highlight w:val="lightGray"/>
        </w:rPr>
        <w:t>à</w:t>
      </w:r>
      <w:r w:rsidR="00155B08" w:rsidRPr="00E1384B">
        <w:rPr>
          <w:highlight w:val="lightGray"/>
        </w:rPr>
        <w:t xml:space="preserve"> d'autres menus</w:t>
      </w:r>
      <w:r w:rsidR="00E0375E" w:rsidRPr="00E1384B">
        <w:rPr>
          <w:highlight w:val="lightGray"/>
        </w:rPr>
        <w:t>.&gt;</w:t>
      </w:r>
    </w:p>
    <w:p w14:paraId="29EA05BE" w14:textId="55D4C07D" w:rsidR="00D74C81" w:rsidRDefault="00D74C81" w:rsidP="00451BCE">
      <w:r>
        <w:t xml:space="preserve">Les plats transformés à base de protéines végétales </w:t>
      </w:r>
      <w:r w:rsidR="00451BCE">
        <w:t xml:space="preserve">(ex : </w:t>
      </w:r>
      <w:r w:rsidR="00B418C0">
        <w:t>b</w:t>
      </w:r>
      <w:r w:rsidR="00451BCE">
        <w:t xml:space="preserve">oulettes, galettes, nuggets de blé, etc.) et les plats complets à </w:t>
      </w:r>
      <w:r w:rsidR="00391CB8">
        <w:t>base de soja (</w:t>
      </w:r>
      <w:r w:rsidR="00E1600B">
        <w:t xml:space="preserve">ex : raviolis au tofu, boulettes de soja, etc.) </w:t>
      </w:r>
      <w:r w:rsidR="00086406">
        <w:t xml:space="preserve">sont </w:t>
      </w:r>
      <w:r w:rsidR="00E1600B">
        <w:t>limités à une fréquence d</w:t>
      </w:r>
      <w:r w:rsidR="00B418C0">
        <w:t>’</w:t>
      </w:r>
      <w:r w:rsidR="00E1600B">
        <w:t>une fois par mois maximum.</w:t>
      </w:r>
    </w:p>
    <w:p w14:paraId="6B048FDA" w14:textId="1494C44B" w:rsidR="00B2372B" w:rsidRPr="00E1384B" w:rsidRDefault="00B348A7">
      <w:pPr>
        <w:rPr>
          <w:highlight w:val="lightGray"/>
        </w:rPr>
      </w:pPr>
      <w:r w:rsidRPr="00E1384B">
        <w:rPr>
          <w:highlight w:val="lightGray"/>
        </w:rPr>
        <w:t>&lt;Pour les restaurants de 200 couverts et plus</w:t>
      </w:r>
      <w:r w:rsidR="006712CE" w:rsidRPr="00E1384B">
        <w:rPr>
          <w:highlight w:val="lightGray"/>
        </w:rPr>
        <w:t> :</w:t>
      </w:r>
    </w:p>
    <w:p w14:paraId="26D20C38" w14:textId="7E858D9B" w:rsidR="00E0375E" w:rsidRDefault="00E0375E">
      <w:r w:rsidRPr="00E1384B">
        <w:rPr>
          <w:highlight w:val="lightGray"/>
        </w:rPr>
        <w:t xml:space="preserve">La société de restauration </w:t>
      </w:r>
      <w:r w:rsidR="00086406">
        <w:rPr>
          <w:highlight w:val="lightGray"/>
        </w:rPr>
        <w:t xml:space="preserve">réalise </w:t>
      </w:r>
      <w:r w:rsidR="009B56CF" w:rsidRPr="00E1384B">
        <w:rPr>
          <w:highlight w:val="lightGray"/>
        </w:rPr>
        <w:t xml:space="preserve">et </w:t>
      </w:r>
      <w:r w:rsidR="00086406">
        <w:rPr>
          <w:highlight w:val="lightGray"/>
        </w:rPr>
        <w:t xml:space="preserve">communique </w:t>
      </w:r>
      <w:r w:rsidR="009B56CF" w:rsidRPr="00E1384B">
        <w:rPr>
          <w:highlight w:val="lightGray"/>
        </w:rPr>
        <w:t xml:space="preserve">à l’établissement </w:t>
      </w:r>
      <w:r w:rsidR="002A72C3" w:rsidRPr="00E1384B">
        <w:rPr>
          <w:highlight w:val="lightGray"/>
        </w:rPr>
        <w:t>un plan pluriannuel de diversification de protéines incluant des alternatives à base de protéines végétales dans les repas qu’ils proposent.</w:t>
      </w:r>
      <w:r w:rsidR="00476492" w:rsidRPr="00E1384B">
        <w:rPr>
          <w:highlight w:val="lightGray"/>
        </w:rPr>
        <w:t>&gt;</w:t>
      </w:r>
    </w:p>
    <w:p w14:paraId="47607D4F" w14:textId="2CB7E65D" w:rsidR="00FD2162" w:rsidRDefault="00BD1C7A" w:rsidP="001459AA">
      <w:pPr>
        <w:pStyle w:val="Paragraphedeliste"/>
        <w:numPr>
          <w:ilvl w:val="0"/>
          <w:numId w:val="4"/>
        </w:numPr>
        <w:rPr>
          <w:b/>
          <w:bCs/>
        </w:rPr>
      </w:pPr>
      <w:r>
        <w:rPr>
          <w:b/>
          <w:bCs/>
        </w:rPr>
        <w:t>Composition des repas</w:t>
      </w:r>
    </w:p>
    <w:p w14:paraId="3F286996" w14:textId="47DF637C" w:rsidR="00FD2162" w:rsidRDefault="005211E7" w:rsidP="00D455F5">
      <w:r w:rsidRPr="003A3753">
        <w:t xml:space="preserve">Afin de limiter le surcoût de la montée en gamme des approvisionnements, les </w:t>
      </w:r>
      <w:r w:rsidR="003A3753">
        <w:t xml:space="preserve">modifications suivantes sont apportées </w:t>
      </w:r>
      <w:r w:rsidR="00257F60">
        <w:t xml:space="preserve">au contrat principal en date du </w:t>
      </w:r>
      <w:r w:rsidR="00257F60" w:rsidRPr="00257F60">
        <w:t>[•]</w:t>
      </w:r>
      <w:r w:rsidR="00257F60">
        <w:t> :</w:t>
      </w:r>
    </w:p>
    <w:p w14:paraId="59283D5A" w14:textId="1D436F22" w:rsidR="00CA22CC" w:rsidRPr="00CA22CC" w:rsidRDefault="00257F60" w:rsidP="00CA22CC">
      <w:pPr>
        <w:pStyle w:val="Paragraphedeliste"/>
        <w:numPr>
          <w:ilvl w:val="0"/>
          <w:numId w:val="3"/>
        </w:numPr>
        <w:rPr>
          <w:i/>
          <w:iCs/>
        </w:rPr>
      </w:pPr>
      <w:r w:rsidRPr="00CA22CC">
        <w:rPr>
          <w:i/>
          <w:iCs/>
        </w:rPr>
        <w:t>&lt;</w:t>
      </w:r>
      <w:r w:rsidR="00105D0E" w:rsidRPr="00CA22CC">
        <w:rPr>
          <w:i/>
          <w:iCs/>
        </w:rPr>
        <w:t xml:space="preserve">nombre de </w:t>
      </w:r>
      <w:r w:rsidRPr="00CA22CC">
        <w:rPr>
          <w:i/>
          <w:iCs/>
        </w:rPr>
        <w:t>composantes</w:t>
      </w:r>
      <w:r w:rsidR="00105D0E" w:rsidRPr="00CA22CC">
        <w:rPr>
          <w:i/>
          <w:iCs/>
        </w:rPr>
        <w:t xml:space="preserve"> par repas</w:t>
      </w:r>
    </w:p>
    <w:p w14:paraId="776FB111" w14:textId="17FAA66F" w:rsidR="00972B97" w:rsidRPr="00CA22CC" w:rsidRDefault="00972B97" w:rsidP="00105D0E">
      <w:pPr>
        <w:pStyle w:val="Paragraphedeliste"/>
        <w:numPr>
          <w:ilvl w:val="0"/>
          <w:numId w:val="3"/>
        </w:numPr>
        <w:rPr>
          <w:i/>
          <w:iCs/>
        </w:rPr>
      </w:pPr>
      <w:r w:rsidRPr="00CA22CC">
        <w:rPr>
          <w:i/>
          <w:iCs/>
        </w:rPr>
        <w:t>nombre de choix</w:t>
      </w:r>
    </w:p>
    <w:p w14:paraId="314C841F" w14:textId="77777777" w:rsidR="00F872AC" w:rsidRPr="00CA22CC" w:rsidRDefault="00234B5D" w:rsidP="00105D0E">
      <w:pPr>
        <w:pStyle w:val="Paragraphedeliste"/>
        <w:numPr>
          <w:ilvl w:val="0"/>
          <w:numId w:val="3"/>
        </w:numPr>
        <w:rPr>
          <w:i/>
          <w:iCs/>
        </w:rPr>
      </w:pPr>
      <w:r w:rsidRPr="00CA22CC">
        <w:rPr>
          <w:i/>
          <w:iCs/>
        </w:rPr>
        <w:t xml:space="preserve">une formule complète </w:t>
      </w:r>
      <w:r w:rsidR="00573533" w:rsidRPr="00CA22CC">
        <w:rPr>
          <w:i/>
          <w:iCs/>
        </w:rPr>
        <w:t xml:space="preserve">sans choix </w:t>
      </w:r>
      <w:r w:rsidR="00EA0379" w:rsidRPr="00CA22CC">
        <w:rPr>
          <w:i/>
          <w:iCs/>
        </w:rPr>
        <w:t xml:space="preserve">et fait maison </w:t>
      </w:r>
      <w:r w:rsidR="007D068F" w:rsidRPr="00CA22CC">
        <w:rPr>
          <w:i/>
          <w:iCs/>
        </w:rPr>
        <w:t xml:space="preserve">(pizza, quiche, hachis parmentier, </w:t>
      </w:r>
      <w:r w:rsidR="008D4276" w:rsidRPr="00CA22CC">
        <w:rPr>
          <w:i/>
          <w:iCs/>
        </w:rPr>
        <w:t>pâtes à la</w:t>
      </w:r>
      <w:r w:rsidR="0046194A" w:rsidRPr="00CA22CC">
        <w:rPr>
          <w:i/>
          <w:iCs/>
        </w:rPr>
        <w:t xml:space="preserve"> bolognaise, </w:t>
      </w:r>
      <w:r w:rsidR="007D068F" w:rsidRPr="00CA22CC">
        <w:rPr>
          <w:i/>
          <w:iCs/>
        </w:rPr>
        <w:t xml:space="preserve">etc.) </w:t>
      </w:r>
      <w:r w:rsidR="00573533" w:rsidRPr="00CA22CC">
        <w:rPr>
          <w:i/>
          <w:iCs/>
        </w:rPr>
        <w:t>une fois par semaine</w:t>
      </w:r>
    </w:p>
    <w:p w14:paraId="2A344AF9" w14:textId="6DF5819A" w:rsidR="00CA22CC" w:rsidRPr="00CA22CC" w:rsidRDefault="00CA22CC" w:rsidP="00105D0E">
      <w:pPr>
        <w:pStyle w:val="Paragraphedeliste"/>
        <w:numPr>
          <w:ilvl w:val="0"/>
          <w:numId w:val="3"/>
        </w:numPr>
        <w:rPr>
          <w:i/>
          <w:iCs/>
        </w:rPr>
      </w:pPr>
      <w:r w:rsidRPr="00CA22CC">
        <w:rPr>
          <w:i/>
          <w:iCs/>
        </w:rPr>
        <w:t>Un bar</w:t>
      </w:r>
      <w:r>
        <w:rPr>
          <w:i/>
          <w:iCs/>
        </w:rPr>
        <w:t xml:space="preserve"> à salade </w:t>
      </w:r>
    </w:p>
    <w:p w14:paraId="57C5C558" w14:textId="3F0B2918" w:rsidR="00234B5D" w:rsidRPr="00CA22CC" w:rsidRDefault="00F872AC" w:rsidP="00105D0E">
      <w:pPr>
        <w:pStyle w:val="Paragraphedeliste"/>
        <w:numPr>
          <w:ilvl w:val="0"/>
          <w:numId w:val="3"/>
        </w:numPr>
        <w:rPr>
          <w:i/>
          <w:iCs/>
        </w:rPr>
      </w:pPr>
      <w:r w:rsidRPr="00CA22CC">
        <w:rPr>
          <w:i/>
          <w:iCs/>
        </w:rPr>
        <w:lastRenderedPageBreak/>
        <w:t>Etc.</w:t>
      </w:r>
      <w:r w:rsidR="00573533" w:rsidRPr="00CA22CC">
        <w:rPr>
          <w:i/>
          <w:iCs/>
        </w:rPr>
        <w:t>&gt;</w:t>
      </w:r>
    </w:p>
    <w:p w14:paraId="45E96084" w14:textId="77777777" w:rsidR="0010721B" w:rsidRPr="003A3753" w:rsidRDefault="0010721B" w:rsidP="0010721B">
      <w:pPr>
        <w:pStyle w:val="Paragraphedeliste"/>
      </w:pPr>
    </w:p>
    <w:p w14:paraId="743C8F0B" w14:textId="3255F6F0" w:rsidR="00FD2162" w:rsidRDefault="00360490" w:rsidP="001459AA">
      <w:pPr>
        <w:pStyle w:val="Paragraphedeliste"/>
        <w:numPr>
          <w:ilvl w:val="0"/>
          <w:numId w:val="4"/>
        </w:numPr>
        <w:rPr>
          <w:b/>
          <w:bCs/>
        </w:rPr>
      </w:pPr>
      <w:r>
        <w:rPr>
          <w:b/>
          <w:bCs/>
        </w:rPr>
        <w:t>Lutte contre le gaspillage alimentaire</w:t>
      </w:r>
    </w:p>
    <w:p w14:paraId="4F71C974" w14:textId="0BB85D47" w:rsidR="007C545E" w:rsidRDefault="00F718A0" w:rsidP="007C545E">
      <w:r w:rsidRPr="00E1384B">
        <w:rPr>
          <w:highlight w:val="lightGray"/>
        </w:rPr>
        <w:t xml:space="preserve">Conformément aux dispositions de la loi </w:t>
      </w:r>
      <w:proofErr w:type="spellStart"/>
      <w:r w:rsidRPr="00E1384B">
        <w:rPr>
          <w:highlight w:val="lightGray"/>
        </w:rPr>
        <w:t>Egalim</w:t>
      </w:r>
      <w:proofErr w:type="spellEnd"/>
      <w:r w:rsidRPr="00E1384B">
        <w:rPr>
          <w:highlight w:val="lightGray"/>
        </w:rPr>
        <w:t>, u</w:t>
      </w:r>
      <w:r w:rsidR="004A4C51" w:rsidRPr="00E1384B">
        <w:rPr>
          <w:highlight w:val="lightGray"/>
        </w:rPr>
        <w:t xml:space="preserve">n diagnostic </w:t>
      </w:r>
      <w:r w:rsidR="00BC1224">
        <w:rPr>
          <w:highlight w:val="lightGray"/>
        </w:rPr>
        <w:t xml:space="preserve">est </w:t>
      </w:r>
      <w:r w:rsidR="00D727C1" w:rsidRPr="00E1384B">
        <w:rPr>
          <w:highlight w:val="lightGray"/>
        </w:rPr>
        <w:t xml:space="preserve">réalisé par la société de restauration et présenté dans </w:t>
      </w:r>
      <w:r w:rsidR="009416E0" w:rsidRPr="00E1384B">
        <w:rPr>
          <w:highlight w:val="lightGray"/>
        </w:rPr>
        <w:t xml:space="preserve">les </w:t>
      </w:r>
      <w:r w:rsidR="004A4C51" w:rsidRPr="00E1384B">
        <w:rPr>
          <w:highlight w:val="lightGray"/>
        </w:rPr>
        <w:t xml:space="preserve">2 mois </w:t>
      </w:r>
      <w:r w:rsidR="00D727C1" w:rsidRPr="00E1384B">
        <w:rPr>
          <w:highlight w:val="lightGray"/>
        </w:rPr>
        <w:t xml:space="preserve">à l’établissement </w:t>
      </w:r>
      <w:r w:rsidR="004A4C51" w:rsidRPr="00E1384B">
        <w:rPr>
          <w:highlight w:val="lightGray"/>
        </w:rPr>
        <w:t>pour identifier les sources du gaspillage</w:t>
      </w:r>
      <w:r w:rsidR="007C545E" w:rsidRPr="00E1384B">
        <w:rPr>
          <w:highlight w:val="lightGray"/>
        </w:rPr>
        <w:t xml:space="preserve"> alimentaire</w:t>
      </w:r>
      <w:r w:rsidR="00BA612F" w:rsidRPr="00E1384B">
        <w:rPr>
          <w:highlight w:val="lightGray"/>
        </w:rPr>
        <w:t>.</w:t>
      </w:r>
      <w:r w:rsidR="004A4C51" w:rsidRPr="003827FE">
        <w:t xml:space="preserve"> </w:t>
      </w:r>
    </w:p>
    <w:p w14:paraId="748E1B59" w14:textId="3ADF2969" w:rsidR="007304E3" w:rsidRDefault="007304E3" w:rsidP="00BA612F">
      <w:r>
        <w:t>A la suite de ce diagnostic, l</w:t>
      </w:r>
      <w:r w:rsidR="00CE7C0D">
        <w:t>a société proposera u</w:t>
      </w:r>
      <w:r w:rsidR="004A4C51" w:rsidRPr="003827FE">
        <w:t>n plan d’actions pour réduire le gaspillage</w:t>
      </w:r>
      <w:r>
        <w:t xml:space="preserve"> avec des objectifs clairs en terme de quantité gaspillée par typologie de convive</w:t>
      </w:r>
      <w:r w:rsidR="00BC1224">
        <w:t>s</w:t>
      </w:r>
      <w:r w:rsidR="004A4C51" w:rsidRPr="003827FE">
        <w:t xml:space="preserve">. </w:t>
      </w:r>
      <w:r w:rsidR="009416E0">
        <w:t xml:space="preserve">Si ces actions conduisent à des </w:t>
      </w:r>
      <w:r w:rsidR="00AE10DD">
        <w:t xml:space="preserve">modifications des </w:t>
      </w:r>
      <w:r w:rsidR="00847D8D">
        <w:t xml:space="preserve">engagements contractuels, un </w:t>
      </w:r>
      <w:r w:rsidR="00727EFA">
        <w:t xml:space="preserve">nouvel </w:t>
      </w:r>
      <w:r w:rsidR="00847D8D">
        <w:t xml:space="preserve">avenant </w:t>
      </w:r>
      <w:r w:rsidR="003C71E1">
        <w:t>sera signé.</w:t>
      </w:r>
      <w:r w:rsidR="00AE10DD">
        <w:t xml:space="preserve"> </w:t>
      </w:r>
    </w:p>
    <w:p w14:paraId="6EEB81D4" w14:textId="0D0816A2" w:rsidR="00360490" w:rsidRPr="003827FE" w:rsidRDefault="003827FE" w:rsidP="00BA612F">
      <w:r w:rsidRPr="003827FE">
        <w:t xml:space="preserve">Une pesée des déchets alimentaires en cuisine et en salle sera réalisée </w:t>
      </w:r>
      <w:r w:rsidR="00A64102" w:rsidRPr="00A64102">
        <w:rPr>
          <w:i/>
          <w:iCs/>
        </w:rPr>
        <w:t>&lt;</w:t>
      </w:r>
      <w:r w:rsidRPr="00A64102">
        <w:rPr>
          <w:i/>
          <w:iCs/>
        </w:rPr>
        <w:t xml:space="preserve">à chaque fin de service </w:t>
      </w:r>
      <w:r w:rsidR="00F66687" w:rsidRPr="00A64102">
        <w:rPr>
          <w:i/>
          <w:iCs/>
        </w:rPr>
        <w:t>ou</w:t>
      </w:r>
      <w:r w:rsidR="00F66687" w:rsidRPr="004E57CF">
        <w:rPr>
          <w:i/>
          <w:iCs/>
        </w:rPr>
        <w:t xml:space="preserve"> autre fréquence à déterminer&gt;</w:t>
      </w:r>
      <w:r w:rsidR="00F66687">
        <w:t xml:space="preserve"> </w:t>
      </w:r>
      <w:r w:rsidRPr="003827FE">
        <w:t>de manière à évaluer le gaspillage alimentaire. Le résultat des pesées sera affiché dans le restaurant</w:t>
      </w:r>
      <w:r w:rsidR="0052479C">
        <w:t xml:space="preserve"> et présenté de manière </w:t>
      </w:r>
      <w:r w:rsidR="00267971">
        <w:t>consolidée</w:t>
      </w:r>
      <w:r w:rsidR="0052479C">
        <w:t xml:space="preserve"> </w:t>
      </w:r>
      <w:r w:rsidRPr="003827FE">
        <w:t>à chaque commission restauration.</w:t>
      </w:r>
    </w:p>
    <w:p w14:paraId="385FCAED" w14:textId="7286CA8C" w:rsidR="0047668F" w:rsidRPr="006F035F" w:rsidRDefault="0047668F" w:rsidP="001459AA">
      <w:pPr>
        <w:pStyle w:val="Paragraphedeliste"/>
        <w:numPr>
          <w:ilvl w:val="0"/>
          <w:numId w:val="4"/>
        </w:numPr>
        <w:rPr>
          <w:b/>
          <w:bCs/>
        </w:rPr>
      </w:pPr>
      <w:r w:rsidRPr="006F035F">
        <w:rPr>
          <w:b/>
          <w:bCs/>
        </w:rPr>
        <w:t>Traçabilité</w:t>
      </w:r>
    </w:p>
    <w:p w14:paraId="05EA6332" w14:textId="705E2027" w:rsidR="0047668F" w:rsidRDefault="0047668F" w:rsidP="0047668F">
      <w:r>
        <w:t>La société de restauration dispose de procédures permettant d’assurer la traçabilité de tout produit ou denrée entrant dans la composition des repas.</w:t>
      </w:r>
    </w:p>
    <w:p w14:paraId="381545AF" w14:textId="1C224D8C" w:rsidR="0047668F" w:rsidRDefault="0047668F" w:rsidP="0047668F">
      <w:r>
        <w:t>Elle est en mesure de communiquer sans délai et sur simple demande de l’établissement, toute information sur la traçabilité concernant les produits des différents composants des menus ou denrées fournies, ainsi que toute information relative aux opérations de transformation des denrées utilisées.</w:t>
      </w:r>
    </w:p>
    <w:p w14:paraId="015629A2" w14:textId="2A35A9EB" w:rsidR="004D0825" w:rsidRPr="001459AA" w:rsidRDefault="004D0825" w:rsidP="001459AA">
      <w:pPr>
        <w:pStyle w:val="Paragraphedeliste"/>
        <w:numPr>
          <w:ilvl w:val="0"/>
          <w:numId w:val="4"/>
        </w:numPr>
        <w:rPr>
          <w:b/>
          <w:bCs/>
        </w:rPr>
      </w:pPr>
      <w:r w:rsidRPr="001459AA">
        <w:rPr>
          <w:b/>
          <w:bCs/>
        </w:rPr>
        <w:t xml:space="preserve">Suivi </w:t>
      </w:r>
      <w:r w:rsidR="000373C6" w:rsidRPr="001459AA">
        <w:rPr>
          <w:b/>
          <w:bCs/>
        </w:rPr>
        <w:t>de la qualité des denrées alimentaires</w:t>
      </w:r>
    </w:p>
    <w:p w14:paraId="10C880D0" w14:textId="63785AA0" w:rsidR="009A2C21" w:rsidRPr="00E1700F" w:rsidRDefault="00E1700F" w:rsidP="000F0CA1">
      <w:r w:rsidRPr="00E1700F">
        <w:t xml:space="preserve">La société </w:t>
      </w:r>
      <w:r w:rsidR="00656DE4">
        <w:t xml:space="preserve">de restauration fournit </w:t>
      </w:r>
      <w:r w:rsidR="00302916">
        <w:t xml:space="preserve">tous les trimestres </w:t>
      </w:r>
      <w:commentRangeStart w:id="2"/>
      <w:r w:rsidR="00E32A83">
        <w:t>(</w:t>
      </w:r>
      <w:r w:rsidR="008A14BB">
        <w:t xml:space="preserve">fin </w:t>
      </w:r>
      <w:r w:rsidR="00366AF6">
        <w:t>mars</w:t>
      </w:r>
      <w:r w:rsidR="008A14BB">
        <w:t xml:space="preserve">, fin </w:t>
      </w:r>
      <w:r w:rsidR="00A20575">
        <w:t>juin</w:t>
      </w:r>
      <w:r w:rsidR="008A14BB">
        <w:t>,</w:t>
      </w:r>
      <w:r w:rsidR="002E7FE0">
        <w:t xml:space="preserve"> fin </w:t>
      </w:r>
      <w:r w:rsidR="00A20575">
        <w:t xml:space="preserve">septembre </w:t>
      </w:r>
      <w:r w:rsidR="002E7FE0">
        <w:t xml:space="preserve">et fin </w:t>
      </w:r>
      <w:r w:rsidR="00A20575">
        <w:t>décembre</w:t>
      </w:r>
      <w:r w:rsidR="008A14BB">
        <w:t>)</w:t>
      </w:r>
      <w:commentRangeEnd w:id="2"/>
      <w:r w:rsidR="0055064A">
        <w:rPr>
          <w:rStyle w:val="Marquedecommentaire"/>
        </w:rPr>
        <w:commentReference w:id="2"/>
      </w:r>
      <w:r w:rsidR="008A14BB">
        <w:t xml:space="preserve"> </w:t>
      </w:r>
      <w:r w:rsidR="00656DE4">
        <w:t xml:space="preserve">un tableau de suivi des </w:t>
      </w:r>
      <w:r w:rsidR="009A2C21">
        <w:t>engagements qualité tel que proposé en annexe 2</w:t>
      </w:r>
      <w:r w:rsidR="00905471">
        <w:t>.</w:t>
      </w:r>
      <w:r w:rsidR="00302916">
        <w:t xml:space="preserve"> </w:t>
      </w:r>
      <w:r w:rsidR="008E558C" w:rsidRPr="00D14D12">
        <w:rPr>
          <w:highlight w:val="lightGray"/>
        </w:rPr>
        <w:t>Pour que l’établissement puisse informer ses convives, c</w:t>
      </w:r>
      <w:r w:rsidR="00302916" w:rsidRPr="00D14D12">
        <w:rPr>
          <w:highlight w:val="lightGray"/>
        </w:rPr>
        <w:t xml:space="preserve">e tableau fait ressortir </w:t>
      </w:r>
      <w:r w:rsidR="00EC005C" w:rsidRPr="00D14D12">
        <w:rPr>
          <w:highlight w:val="lightGray"/>
        </w:rPr>
        <w:t xml:space="preserve">en fin d’année </w:t>
      </w:r>
      <w:r w:rsidR="00C14B7C">
        <w:rPr>
          <w:highlight w:val="lightGray"/>
        </w:rPr>
        <w:t>(</w:t>
      </w:r>
      <w:commentRangeStart w:id="3"/>
      <w:r w:rsidR="00C14B7C">
        <w:rPr>
          <w:highlight w:val="lightGray"/>
        </w:rPr>
        <w:t>fin décembre</w:t>
      </w:r>
      <w:commentRangeEnd w:id="3"/>
      <w:r w:rsidR="00FC7BBE">
        <w:rPr>
          <w:rStyle w:val="Marquedecommentaire"/>
        </w:rPr>
        <w:commentReference w:id="3"/>
      </w:r>
      <w:r w:rsidR="00C14B7C">
        <w:rPr>
          <w:highlight w:val="lightGray"/>
        </w:rPr>
        <w:t xml:space="preserve">) </w:t>
      </w:r>
      <w:r w:rsidR="00302916" w:rsidRPr="00D14D12">
        <w:rPr>
          <w:highlight w:val="lightGray"/>
        </w:rPr>
        <w:t xml:space="preserve">la </w:t>
      </w:r>
      <w:r w:rsidR="000F0CA1" w:rsidRPr="00D14D12">
        <w:rPr>
          <w:highlight w:val="lightGray"/>
        </w:rPr>
        <w:t>part des produits entrant dans la composition des 50% de produits de qualité et durables</w:t>
      </w:r>
      <w:r w:rsidR="003637AE">
        <w:rPr>
          <w:highlight w:val="lightGray"/>
        </w:rPr>
        <w:t xml:space="preserve"> au sens de la loi </w:t>
      </w:r>
      <w:proofErr w:type="spellStart"/>
      <w:r w:rsidR="003637AE">
        <w:rPr>
          <w:highlight w:val="lightGray"/>
        </w:rPr>
        <w:t>Egalim</w:t>
      </w:r>
      <w:proofErr w:type="spellEnd"/>
      <w:r w:rsidR="008E558C" w:rsidRPr="00D14D12">
        <w:rPr>
          <w:highlight w:val="lightGray"/>
        </w:rPr>
        <w:t>.</w:t>
      </w:r>
    </w:p>
    <w:p w14:paraId="48D79A8E" w14:textId="005EA36C" w:rsidR="0047668F" w:rsidRPr="006F035F" w:rsidRDefault="0047668F" w:rsidP="00C83A66">
      <w:pPr>
        <w:pStyle w:val="Paragraphedeliste"/>
        <w:numPr>
          <w:ilvl w:val="0"/>
          <w:numId w:val="4"/>
        </w:numPr>
        <w:rPr>
          <w:b/>
          <w:bCs/>
        </w:rPr>
      </w:pPr>
      <w:r w:rsidRPr="006F035F">
        <w:rPr>
          <w:b/>
          <w:bCs/>
        </w:rPr>
        <w:t>Pénalités</w:t>
      </w:r>
    </w:p>
    <w:p w14:paraId="7DC4CCA9" w14:textId="483211D7" w:rsidR="00E017B6" w:rsidRPr="0047668F" w:rsidRDefault="00E017B6" w:rsidP="00E017B6">
      <w:pPr>
        <w:rPr>
          <w:rFonts w:ascii="Calibri" w:hAnsi="Calibri" w:cs="Calibri"/>
        </w:rPr>
      </w:pPr>
      <w:r>
        <w:rPr>
          <w:rFonts w:ascii="Calibri" w:hAnsi="Calibri" w:cs="Calibri"/>
        </w:rPr>
        <w:t>L</w:t>
      </w:r>
      <w:r w:rsidRPr="0047668F">
        <w:rPr>
          <w:rFonts w:ascii="Calibri" w:hAnsi="Calibri" w:cs="Calibri"/>
        </w:rPr>
        <w:t>’établissement peut infliger des pénalités à la société de restauration en cas de non-respect de ses engagement</w:t>
      </w:r>
      <w:r>
        <w:rPr>
          <w:rFonts w:ascii="Calibri" w:hAnsi="Calibri" w:cs="Calibri"/>
        </w:rPr>
        <w:t>s</w:t>
      </w:r>
      <w:r w:rsidRPr="0047668F">
        <w:rPr>
          <w:rFonts w:ascii="Calibri" w:hAnsi="Calibri" w:cs="Calibri"/>
        </w:rPr>
        <w:t xml:space="preserve"> en terme de qualité des denrées alimentaires. </w:t>
      </w:r>
      <w:r>
        <w:rPr>
          <w:rFonts w:ascii="Calibri" w:hAnsi="Calibri" w:cs="Calibri"/>
        </w:rPr>
        <w:t xml:space="preserve">Ces </w:t>
      </w:r>
      <w:r w:rsidRPr="0047668F">
        <w:rPr>
          <w:rFonts w:ascii="Calibri" w:hAnsi="Calibri" w:cs="Calibri"/>
        </w:rPr>
        <w:t>pénalités sont exprimées en euros TTC.</w:t>
      </w:r>
    </w:p>
    <w:tbl>
      <w:tblPr>
        <w:tblStyle w:val="Grilledutableau"/>
        <w:tblW w:w="0" w:type="auto"/>
        <w:tblLook w:val="04A0" w:firstRow="1" w:lastRow="0" w:firstColumn="1" w:lastColumn="0" w:noHBand="0" w:noVBand="1"/>
      </w:tblPr>
      <w:tblGrid>
        <w:gridCol w:w="3020"/>
        <w:gridCol w:w="3021"/>
        <w:gridCol w:w="3021"/>
      </w:tblGrid>
      <w:tr w:rsidR="00E017B6" w:rsidRPr="0047668F" w14:paraId="7A17F55B" w14:textId="77777777" w:rsidTr="00656E54">
        <w:tc>
          <w:tcPr>
            <w:tcW w:w="3020" w:type="dxa"/>
          </w:tcPr>
          <w:p w14:paraId="1C435F46" w14:textId="77777777" w:rsidR="00E017B6" w:rsidRPr="0047668F" w:rsidRDefault="00E017B6" w:rsidP="00656E54">
            <w:pPr>
              <w:rPr>
                <w:rFonts w:ascii="Calibri" w:hAnsi="Calibri" w:cs="Calibri"/>
              </w:rPr>
            </w:pPr>
            <w:r w:rsidRPr="0047668F">
              <w:rPr>
                <w:rFonts w:ascii="Calibri" w:hAnsi="Calibri" w:cs="Calibri"/>
              </w:rPr>
              <w:t>Objet</w:t>
            </w:r>
          </w:p>
        </w:tc>
        <w:tc>
          <w:tcPr>
            <w:tcW w:w="3021" w:type="dxa"/>
          </w:tcPr>
          <w:p w14:paraId="5FAACFC7" w14:textId="7BE1678C" w:rsidR="00E017B6" w:rsidRPr="0047668F" w:rsidRDefault="00E017B6" w:rsidP="00656E54">
            <w:pPr>
              <w:rPr>
                <w:rFonts w:ascii="Calibri" w:hAnsi="Calibri" w:cs="Calibri"/>
              </w:rPr>
            </w:pPr>
            <w:commentRangeStart w:id="4"/>
            <w:r w:rsidRPr="0047668F">
              <w:rPr>
                <w:rFonts w:ascii="Calibri" w:hAnsi="Calibri" w:cs="Calibri"/>
              </w:rPr>
              <w:t>Montant</w:t>
            </w:r>
            <w:r>
              <w:rPr>
                <w:rFonts w:ascii="Calibri" w:hAnsi="Calibri" w:cs="Calibri"/>
              </w:rPr>
              <w:t xml:space="preserve"> (TTC)</w:t>
            </w:r>
            <w:commentRangeEnd w:id="4"/>
            <w:r w:rsidR="002940E8">
              <w:rPr>
                <w:rStyle w:val="Marquedecommentaire"/>
              </w:rPr>
              <w:commentReference w:id="4"/>
            </w:r>
          </w:p>
        </w:tc>
        <w:tc>
          <w:tcPr>
            <w:tcW w:w="3021" w:type="dxa"/>
          </w:tcPr>
          <w:p w14:paraId="36F1ECD8" w14:textId="77777777" w:rsidR="00E017B6" w:rsidRPr="0047668F" w:rsidRDefault="00E017B6" w:rsidP="00656E54">
            <w:pPr>
              <w:rPr>
                <w:rFonts w:ascii="Calibri" w:hAnsi="Calibri" w:cs="Calibri"/>
              </w:rPr>
            </w:pPr>
            <w:r w:rsidRPr="0047668F">
              <w:rPr>
                <w:rFonts w:ascii="Calibri" w:hAnsi="Calibri" w:cs="Calibri"/>
              </w:rPr>
              <w:t>Conditions et modalités d’application</w:t>
            </w:r>
          </w:p>
        </w:tc>
      </w:tr>
      <w:tr w:rsidR="00A145CE" w:rsidRPr="0047668F" w14:paraId="03048F9E" w14:textId="77777777" w:rsidTr="00656E54">
        <w:tc>
          <w:tcPr>
            <w:tcW w:w="3020" w:type="dxa"/>
          </w:tcPr>
          <w:p w14:paraId="4C8FA523" w14:textId="2B913EDF" w:rsidR="00A145CE" w:rsidRPr="0047668F" w:rsidRDefault="00AE5E9D" w:rsidP="00656E54">
            <w:pPr>
              <w:rPr>
                <w:rFonts w:ascii="Calibri" w:hAnsi="Calibri" w:cs="Calibri"/>
              </w:rPr>
            </w:pPr>
            <w:r>
              <w:rPr>
                <w:rFonts w:ascii="Calibri" w:hAnsi="Calibri" w:cs="Calibri"/>
              </w:rPr>
              <w:t xml:space="preserve">Non-respect des menus </w:t>
            </w:r>
            <w:r w:rsidR="00A145CE">
              <w:rPr>
                <w:rFonts w:ascii="Calibri" w:hAnsi="Calibri" w:cs="Calibri"/>
              </w:rPr>
              <w:t>sans motif valable</w:t>
            </w:r>
          </w:p>
        </w:tc>
        <w:tc>
          <w:tcPr>
            <w:tcW w:w="3021" w:type="dxa"/>
          </w:tcPr>
          <w:p w14:paraId="3DBF012A" w14:textId="2290E57D" w:rsidR="00A145CE" w:rsidRPr="0047668F" w:rsidRDefault="00E42CB7" w:rsidP="00656E54">
            <w:pPr>
              <w:rPr>
                <w:rFonts w:ascii="Calibri" w:hAnsi="Calibri" w:cs="Calibri"/>
              </w:rPr>
            </w:pPr>
            <w:r>
              <w:rPr>
                <w:rFonts w:ascii="Calibri" w:hAnsi="Calibri" w:cs="Calibri"/>
              </w:rPr>
              <w:t>&lt;</w:t>
            </w:r>
            <w:r w:rsidR="0099196D">
              <w:rPr>
                <w:rFonts w:ascii="Calibri" w:hAnsi="Calibri" w:cs="Calibri"/>
              </w:rPr>
              <w:t xml:space="preserve">100€ à </w:t>
            </w:r>
            <w:r w:rsidR="00A145CE">
              <w:rPr>
                <w:rFonts w:ascii="Calibri" w:hAnsi="Calibri" w:cs="Calibri"/>
              </w:rPr>
              <w:t>300€</w:t>
            </w:r>
            <w:r>
              <w:rPr>
                <w:rFonts w:ascii="Calibri" w:hAnsi="Calibri" w:cs="Calibri"/>
              </w:rPr>
              <w:t>&gt;</w:t>
            </w:r>
            <w:r w:rsidR="00A145CE">
              <w:rPr>
                <w:rFonts w:ascii="Calibri" w:hAnsi="Calibri" w:cs="Calibri"/>
              </w:rPr>
              <w:t xml:space="preserve"> par manquement</w:t>
            </w:r>
          </w:p>
        </w:tc>
        <w:tc>
          <w:tcPr>
            <w:tcW w:w="3021" w:type="dxa"/>
          </w:tcPr>
          <w:p w14:paraId="639C6CBE" w14:textId="54A8876F" w:rsidR="00A145CE" w:rsidRPr="0047668F" w:rsidRDefault="00A145CE" w:rsidP="00656E54">
            <w:pPr>
              <w:rPr>
                <w:rFonts w:ascii="Calibri" w:hAnsi="Calibri" w:cs="Calibri"/>
              </w:rPr>
            </w:pPr>
            <w:r>
              <w:rPr>
                <w:rFonts w:ascii="Calibri" w:hAnsi="Calibri" w:cs="Calibri"/>
              </w:rPr>
              <w:t>Constat contradictoire (menu/service)</w:t>
            </w:r>
          </w:p>
        </w:tc>
      </w:tr>
      <w:tr w:rsidR="00E017B6" w:rsidRPr="0047668F" w14:paraId="675A535C" w14:textId="77777777" w:rsidTr="00E017B6">
        <w:tc>
          <w:tcPr>
            <w:tcW w:w="3020" w:type="dxa"/>
          </w:tcPr>
          <w:p w14:paraId="042C8A91" w14:textId="009F6538" w:rsidR="00E017B6" w:rsidRPr="0047668F" w:rsidRDefault="00E017B6" w:rsidP="00656E54">
            <w:pPr>
              <w:rPr>
                <w:rFonts w:ascii="Calibri" w:hAnsi="Calibri" w:cs="Calibri"/>
              </w:rPr>
            </w:pPr>
            <w:r>
              <w:rPr>
                <w:rFonts w:ascii="Calibri" w:hAnsi="Calibri" w:cs="Calibri"/>
              </w:rPr>
              <w:t xml:space="preserve">Non-respect des </w:t>
            </w:r>
            <w:r w:rsidR="008D1265">
              <w:rPr>
                <w:rFonts w:ascii="Calibri" w:hAnsi="Calibri" w:cs="Calibri"/>
              </w:rPr>
              <w:t>labels</w:t>
            </w:r>
            <w:r>
              <w:rPr>
                <w:rFonts w:ascii="Calibri" w:hAnsi="Calibri" w:cs="Calibri"/>
              </w:rPr>
              <w:t xml:space="preserve"> affichés sur les menus</w:t>
            </w:r>
          </w:p>
        </w:tc>
        <w:tc>
          <w:tcPr>
            <w:tcW w:w="3021" w:type="dxa"/>
          </w:tcPr>
          <w:p w14:paraId="3BCC7C5F" w14:textId="1915C9E1" w:rsidR="00E017B6" w:rsidRPr="0047668F" w:rsidRDefault="00E42CB7" w:rsidP="00656E54">
            <w:pPr>
              <w:rPr>
                <w:rFonts w:ascii="Calibri" w:hAnsi="Calibri" w:cs="Calibri"/>
              </w:rPr>
            </w:pPr>
            <w:r>
              <w:rPr>
                <w:rFonts w:ascii="Calibri" w:hAnsi="Calibri" w:cs="Calibri"/>
              </w:rPr>
              <w:t>&lt;</w:t>
            </w:r>
            <w:r w:rsidR="0099196D">
              <w:rPr>
                <w:rFonts w:ascii="Calibri" w:hAnsi="Calibri" w:cs="Calibri"/>
              </w:rPr>
              <w:t xml:space="preserve">100€ à </w:t>
            </w:r>
            <w:r w:rsidR="00E017B6">
              <w:rPr>
                <w:rFonts w:ascii="Calibri" w:hAnsi="Calibri" w:cs="Calibri"/>
              </w:rPr>
              <w:t>300€</w:t>
            </w:r>
            <w:r>
              <w:rPr>
                <w:rFonts w:ascii="Calibri" w:hAnsi="Calibri" w:cs="Calibri"/>
              </w:rPr>
              <w:t>&gt;</w:t>
            </w:r>
            <w:r w:rsidR="00E017B6">
              <w:rPr>
                <w:rFonts w:ascii="Calibri" w:hAnsi="Calibri" w:cs="Calibri"/>
              </w:rPr>
              <w:t xml:space="preserve"> par manquement</w:t>
            </w:r>
          </w:p>
        </w:tc>
        <w:tc>
          <w:tcPr>
            <w:tcW w:w="3021" w:type="dxa"/>
          </w:tcPr>
          <w:p w14:paraId="2ECC1BFC" w14:textId="60608E5B" w:rsidR="00E017B6" w:rsidRPr="0047668F" w:rsidRDefault="00E017B6" w:rsidP="00656E54">
            <w:pPr>
              <w:rPr>
                <w:rFonts w:ascii="Calibri" w:hAnsi="Calibri" w:cs="Calibri"/>
              </w:rPr>
            </w:pPr>
            <w:r>
              <w:rPr>
                <w:rFonts w:ascii="Calibri" w:hAnsi="Calibri" w:cs="Calibri"/>
              </w:rPr>
              <w:t>Constat contradictoire (menu/facture)</w:t>
            </w:r>
          </w:p>
        </w:tc>
      </w:tr>
      <w:tr w:rsidR="002469C4" w:rsidRPr="0047668F" w14:paraId="4BA8160F" w14:textId="77777777" w:rsidTr="00656E54">
        <w:tc>
          <w:tcPr>
            <w:tcW w:w="3020" w:type="dxa"/>
          </w:tcPr>
          <w:p w14:paraId="7BADB0C4" w14:textId="4670DAFC" w:rsidR="002469C4" w:rsidRPr="00E42CB7" w:rsidRDefault="002469C4" w:rsidP="00656E54">
            <w:pPr>
              <w:rPr>
                <w:rFonts w:ascii="Calibri" w:hAnsi="Calibri" w:cs="Calibri"/>
              </w:rPr>
            </w:pPr>
            <w:r w:rsidRPr="00E42CB7">
              <w:rPr>
                <w:rFonts w:ascii="Calibri" w:hAnsi="Calibri" w:cs="Calibri"/>
              </w:rPr>
              <w:t xml:space="preserve">Non-respect des engagements pris en terme d’approvisionnements </w:t>
            </w:r>
            <w:r w:rsidR="00507204" w:rsidRPr="00E42CB7">
              <w:rPr>
                <w:rFonts w:ascii="Calibri" w:hAnsi="Calibri" w:cs="Calibri"/>
              </w:rPr>
              <w:t xml:space="preserve">(cf. </w:t>
            </w:r>
            <w:r w:rsidRPr="00E42CB7">
              <w:rPr>
                <w:rFonts w:ascii="Calibri" w:hAnsi="Calibri" w:cs="Calibri"/>
              </w:rPr>
              <w:t>tableau en annexe</w:t>
            </w:r>
            <w:r w:rsidR="00507204" w:rsidRPr="00E42CB7">
              <w:rPr>
                <w:rFonts w:ascii="Calibri" w:hAnsi="Calibri" w:cs="Calibri"/>
              </w:rPr>
              <w:t>)</w:t>
            </w:r>
          </w:p>
        </w:tc>
        <w:tc>
          <w:tcPr>
            <w:tcW w:w="3021" w:type="dxa"/>
          </w:tcPr>
          <w:p w14:paraId="51633D0C" w14:textId="644CBD70" w:rsidR="002469C4" w:rsidRPr="00E42CB7" w:rsidRDefault="00E42CB7" w:rsidP="00656E54">
            <w:pPr>
              <w:rPr>
                <w:rFonts w:ascii="Calibri" w:hAnsi="Calibri" w:cs="Calibri"/>
              </w:rPr>
            </w:pPr>
            <w:r>
              <w:rPr>
                <w:rFonts w:ascii="Calibri" w:hAnsi="Calibri" w:cs="Calibri"/>
              </w:rPr>
              <w:t>&lt;</w:t>
            </w:r>
            <w:r w:rsidR="002469C4" w:rsidRPr="00E42CB7">
              <w:rPr>
                <w:rFonts w:ascii="Calibri" w:hAnsi="Calibri" w:cs="Calibri"/>
              </w:rPr>
              <w:t>100 à 500€</w:t>
            </w:r>
            <w:r>
              <w:rPr>
                <w:rFonts w:ascii="Calibri" w:hAnsi="Calibri" w:cs="Calibri"/>
              </w:rPr>
              <w:t>&gt;</w:t>
            </w:r>
            <w:r w:rsidR="002469C4" w:rsidRPr="00E42CB7">
              <w:rPr>
                <w:rFonts w:ascii="Calibri" w:hAnsi="Calibri" w:cs="Calibri"/>
              </w:rPr>
              <w:t xml:space="preserve"> par manquement par </w:t>
            </w:r>
            <w:r w:rsidR="004C0645">
              <w:rPr>
                <w:rFonts w:ascii="Calibri" w:hAnsi="Calibri" w:cs="Calibri"/>
              </w:rPr>
              <w:t xml:space="preserve">marqueur qualité </w:t>
            </w:r>
            <w:r w:rsidR="002469C4" w:rsidRPr="00E42CB7">
              <w:rPr>
                <w:rFonts w:ascii="Calibri" w:hAnsi="Calibri" w:cs="Calibri"/>
              </w:rPr>
              <w:t xml:space="preserve">(bio, </w:t>
            </w:r>
            <w:r w:rsidR="004C0645">
              <w:rPr>
                <w:rFonts w:ascii="Calibri" w:hAnsi="Calibri" w:cs="Calibri"/>
              </w:rPr>
              <w:t>labels</w:t>
            </w:r>
            <w:r w:rsidR="002469C4" w:rsidRPr="00E42CB7">
              <w:rPr>
                <w:rFonts w:ascii="Calibri" w:hAnsi="Calibri" w:cs="Calibri"/>
              </w:rPr>
              <w:t>, produits frais, etc.)</w:t>
            </w:r>
          </w:p>
        </w:tc>
        <w:tc>
          <w:tcPr>
            <w:tcW w:w="3021" w:type="dxa"/>
          </w:tcPr>
          <w:p w14:paraId="6729DA49" w14:textId="79680FA2" w:rsidR="002469C4" w:rsidRPr="0047668F" w:rsidRDefault="002469C4" w:rsidP="00656E54">
            <w:pPr>
              <w:rPr>
                <w:rFonts w:ascii="Calibri" w:hAnsi="Calibri" w:cs="Calibri"/>
              </w:rPr>
            </w:pPr>
            <w:proofErr w:type="spellStart"/>
            <w:r>
              <w:rPr>
                <w:rFonts w:ascii="Calibri" w:hAnsi="Calibri" w:cs="Calibri"/>
              </w:rPr>
              <w:t>Reporting</w:t>
            </w:r>
            <w:proofErr w:type="spellEnd"/>
            <w:r>
              <w:rPr>
                <w:rFonts w:ascii="Calibri" w:hAnsi="Calibri" w:cs="Calibri"/>
              </w:rPr>
              <w:t xml:space="preserve"> trimestriel et constat </w:t>
            </w:r>
            <w:r w:rsidR="002532BC">
              <w:rPr>
                <w:rFonts w:ascii="Calibri" w:hAnsi="Calibri" w:cs="Calibri"/>
              </w:rPr>
              <w:t xml:space="preserve">contradictoire </w:t>
            </w:r>
          </w:p>
        </w:tc>
      </w:tr>
      <w:tr w:rsidR="00E017B6" w:rsidRPr="0047668F" w14:paraId="7400E90E" w14:textId="77777777" w:rsidTr="00E017B6">
        <w:tc>
          <w:tcPr>
            <w:tcW w:w="3020" w:type="dxa"/>
          </w:tcPr>
          <w:p w14:paraId="683E7680" w14:textId="18C7268D" w:rsidR="00E017B6" w:rsidRPr="0047668F" w:rsidRDefault="00E017B6" w:rsidP="00656E54">
            <w:pPr>
              <w:rPr>
                <w:rFonts w:ascii="Calibri" w:hAnsi="Calibri" w:cs="Calibri"/>
              </w:rPr>
            </w:pPr>
            <w:r>
              <w:rPr>
                <w:rFonts w:ascii="Calibri" w:hAnsi="Calibri" w:cs="Calibri"/>
              </w:rPr>
              <w:t xml:space="preserve">Non-transmission des factures en cas de contrôle </w:t>
            </w:r>
          </w:p>
        </w:tc>
        <w:tc>
          <w:tcPr>
            <w:tcW w:w="3021" w:type="dxa"/>
          </w:tcPr>
          <w:p w14:paraId="3F5506A2" w14:textId="028D44DD" w:rsidR="00E017B6" w:rsidRPr="0047668F" w:rsidRDefault="00E42CB7" w:rsidP="00656E54">
            <w:pPr>
              <w:rPr>
                <w:rFonts w:ascii="Calibri" w:hAnsi="Calibri" w:cs="Calibri"/>
              </w:rPr>
            </w:pPr>
            <w:r>
              <w:rPr>
                <w:rFonts w:ascii="Calibri" w:hAnsi="Calibri" w:cs="Calibri"/>
              </w:rPr>
              <w:t>&lt;</w:t>
            </w:r>
            <w:r w:rsidR="0099196D">
              <w:rPr>
                <w:rFonts w:ascii="Calibri" w:hAnsi="Calibri" w:cs="Calibri"/>
              </w:rPr>
              <w:t xml:space="preserve">100€ à </w:t>
            </w:r>
            <w:r w:rsidR="00E017B6">
              <w:rPr>
                <w:rFonts w:ascii="Calibri" w:hAnsi="Calibri" w:cs="Calibri"/>
              </w:rPr>
              <w:t>300€</w:t>
            </w:r>
            <w:r>
              <w:rPr>
                <w:rFonts w:ascii="Calibri" w:hAnsi="Calibri" w:cs="Calibri"/>
              </w:rPr>
              <w:t>&gt;</w:t>
            </w:r>
            <w:r w:rsidR="00E017B6">
              <w:rPr>
                <w:rFonts w:ascii="Calibri" w:hAnsi="Calibri" w:cs="Calibri"/>
              </w:rPr>
              <w:t xml:space="preserve"> par manquement</w:t>
            </w:r>
          </w:p>
        </w:tc>
        <w:tc>
          <w:tcPr>
            <w:tcW w:w="3021" w:type="dxa"/>
          </w:tcPr>
          <w:p w14:paraId="3BEC518A" w14:textId="583C743E" w:rsidR="00E017B6" w:rsidRPr="0047668F" w:rsidRDefault="00E017B6" w:rsidP="00656E54">
            <w:pPr>
              <w:rPr>
                <w:rFonts w:ascii="Calibri" w:hAnsi="Calibri" w:cs="Calibri"/>
              </w:rPr>
            </w:pPr>
            <w:r>
              <w:rPr>
                <w:rFonts w:ascii="Calibri" w:hAnsi="Calibri" w:cs="Calibri"/>
              </w:rPr>
              <w:t xml:space="preserve">Pas de réponse sous 15 jours à un demande par courrier simple ou mail </w:t>
            </w:r>
          </w:p>
        </w:tc>
      </w:tr>
    </w:tbl>
    <w:p w14:paraId="7585776C" w14:textId="6F499017" w:rsidR="00E017B6" w:rsidRDefault="00E017B6" w:rsidP="00E017B6">
      <w:pPr>
        <w:rPr>
          <w:rFonts w:ascii="Calibri" w:hAnsi="Calibri" w:cs="Calibri"/>
        </w:rPr>
      </w:pPr>
    </w:p>
    <w:sectPr w:rsidR="00E017B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larisse WALCKENAER" w:date="2021-10-18T23:15:00Z" w:initials="CW">
    <w:p w14:paraId="0ADB64DB" w14:textId="007DF69B" w:rsidR="00804F72" w:rsidRDefault="00804F72">
      <w:pPr>
        <w:pStyle w:val="Commentaire"/>
      </w:pPr>
      <w:r>
        <w:rPr>
          <w:rStyle w:val="Marquedecommentaire"/>
        </w:rPr>
        <w:annotationRef/>
      </w:r>
      <w:r>
        <w:t xml:space="preserve">Même si la loi prévoit un calcul sur une année civile, vous pourriez opter </w:t>
      </w:r>
      <w:r w:rsidR="009B0817">
        <w:t>pour un calcul sur une année scolaire.</w:t>
      </w:r>
    </w:p>
  </w:comment>
  <w:comment w:id="1" w:author="Clarisse WALCKENAER" w:date="2021-10-19T09:59:00Z" w:initials="CW">
    <w:p w14:paraId="634F7B48" w14:textId="2DD887B3" w:rsidR="00AB7CD1" w:rsidRPr="00AB7CD1" w:rsidRDefault="00AB7CD1">
      <w:pPr>
        <w:pStyle w:val="Commentaire"/>
      </w:pPr>
      <w:r w:rsidRPr="00AB7CD1">
        <w:rPr>
          <w:rStyle w:val="Marquedecommentaire"/>
        </w:rPr>
        <w:annotationRef/>
      </w:r>
      <w:r w:rsidRPr="00AB7CD1">
        <w:t xml:space="preserve">Précisez dans ce paragraphe </w:t>
      </w:r>
      <w:r w:rsidR="00F60113">
        <w:t xml:space="preserve">les autres engagements pris par la société en </w:t>
      </w:r>
      <w:r w:rsidRPr="00AB7CD1">
        <w:t>terme de qualité des denrées alimentaires</w:t>
      </w:r>
    </w:p>
  </w:comment>
  <w:comment w:id="2" w:author="Clarisse WALCKENAER" w:date="2021-10-19T10:15:00Z" w:initials="CW">
    <w:p w14:paraId="6A29EA00" w14:textId="1041B30A" w:rsidR="0055064A" w:rsidRDefault="0055064A">
      <w:pPr>
        <w:pStyle w:val="Commentaire"/>
      </w:pPr>
      <w:r>
        <w:rPr>
          <w:rStyle w:val="Marquedecommentaire"/>
        </w:rPr>
        <w:annotationRef/>
      </w:r>
      <w:r w:rsidR="00A33FAB">
        <w:t xml:space="preserve"> </w:t>
      </w:r>
      <w:r>
        <w:t xml:space="preserve">Fin </w:t>
      </w:r>
      <w:r w:rsidR="00626868">
        <w:t>novembre, fin février</w:t>
      </w:r>
      <w:r w:rsidR="00FC7BBE">
        <w:t xml:space="preserve"> et </w:t>
      </w:r>
      <w:r w:rsidR="00626868">
        <w:t xml:space="preserve">fin </w:t>
      </w:r>
      <w:r w:rsidR="00FC7BBE">
        <w:t xml:space="preserve">juin </w:t>
      </w:r>
      <w:r w:rsidR="00626868">
        <w:t>si vous optez pour un suivi sur une année scolaire</w:t>
      </w:r>
    </w:p>
  </w:comment>
  <w:comment w:id="3" w:author="Clarisse WALCKENAER" w:date="2021-10-19T10:16:00Z" w:initials="CW">
    <w:p w14:paraId="73A7487B" w14:textId="75EDD478" w:rsidR="00FC7BBE" w:rsidRDefault="00FC7BBE">
      <w:pPr>
        <w:pStyle w:val="Commentaire"/>
      </w:pPr>
      <w:r>
        <w:rPr>
          <w:rStyle w:val="Marquedecommentaire"/>
        </w:rPr>
        <w:annotationRef/>
      </w:r>
      <w:r w:rsidR="00245E21">
        <w:t>Fin juin si vous optez pour un suivi sur une année scolaire</w:t>
      </w:r>
    </w:p>
  </w:comment>
  <w:comment w:id="4" w:author="Clarisse WALCKENAER" w:date="2021-10-18T23:22:00Z" w:initials="CW">
    <w:p w14:paraId="5765D908" w14:textId="361E7D34" w:rsidR="002940E8" w:rsidRDefault="002940E8">
      <w:pPr>
        <w:pStyle w:val="Commentaire"/>
      </w:pPr>
      <w:r>
        <w:rPr>
          <w:rStyle w:val="Marquedecommentaire"/>
        </w:rPr>
        <w:annotationRef/>
      </w:r>
      <w:r>
        <w:t>Le montant des pénalités est à adapter en fonction du nombre de convives par jour</w:t>
      </w:r>
      <w:r w:rsidR="009A25C1">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DB64DB" w15:done="0"/>
  <w15:commentEx w15:paraId="634F7B48" w15:done="0"/>
  <w15:commentEx w15:paraId="6A29EA00" w15:done="0"/>
  <w15:commentEx w15:paraId="73A7487B" w15:done="0"/>
  <w15:commentEx w15:paraId="5765D9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87E87" w16cex:dateUtc="2021-10-18T21:15:00Z"/>
  <w16cex:commentExtensible w16cex:durableId="2519158A" w16cex:dateUtc="2021-10-19T07:59:00Z"/>
  <w16cex:commentExtensible w16cex:durableId="25191943" w16cex:dateUtc="2021-10-19T08:15:00Z"/>
  <w16cex:commentExtensible w16cex:durableId="2519198A" w16cex:dateUtc="2021-10-19T08:16:00Z"/>
  <w16cex:commentExtensible w16cex:durableId="25188020" w16cex:dateUtc="2021-10-18T2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DB64DB" w16cid:durableId="25187E87"/>
  <w16cid:commentId w16cid:paraId="634F7B48" w16cid:durableId="2519158A"/>
  <w16cid:commentId w16cid:paraId="6A29EA00" w16cid:durableId="25191943"/>
  <w16cid:commentId w16cid:paraId="73A7487B" w16cid:durableId="2519198A"/>
  <w16cid:commentId w16cid:paraId="5765D908" w16cid:durableId="251880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003B"/>
    <w:multiLevelType w:val="hybridMultilevel"/>
    <w:tmpl w:val="E6C01626"/>
    <w:lvl w:ilvl="0" w:tplc="FB826F8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A715CB"/>
    <w:multiLevelType w:val="hybridMultilevel"/>
    <w:tmpl w:val="042C6E80"/>
    <w:lvl w:ilvl="0" w:tplc="BB16BF00">
      <w:start w:val="3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6F0847"/>
    <w:multiLevelType w:val="hybridMultilevel"/>
    <w:tmpl w:val="31A6327E"/>
    <w:lvl w:ilvl="0" w:tplc="79DA28D0">
      <w:start w:val="1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FC199A"/>
    <w:multiLevelType w:val="hybridMultilevel"/>
    <w:tmpl w:val="6352D168"/>
    <w:lvl w:ilvl="0" w:tplc="E95647B6">
      <w:start w:val="10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412D10"/>
    <w:multiLevelType w:val="hybridMultilevel"/>
    <w:tmpl w:val="44D2BF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isse WALCKENAER">
    <w15:presenceInfo w15:providerId="AD" w15:userId="S::c-walckenaer@fnogec.org::e1eb0f4d-4fec-4632-9be3-048d0320cd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68F"/>
    <w:rsid w:val="000050AE"/>
    <w:rsid w:val="00006EF4"/>
    <w:rsid w:val="00013D07"/>
    <w:rsid w:val="00016339"/>
    <w:rsid w:val="00022C55"/>
    <w:rsid w:val="000373C6"/>
    <w:rsid w:val="00050790"/>
    <w:rsid w:val="00072D5D"/>
    <w:rsid w:val="00086406"/>
    <w:rsid w:val="000963BB"/>
    <w:rsid w:val="000F0CA1"/>
    <w:rsid w:val="000F721E"/>
    <w:rsid w:val="00105D0E"/>
    <w:rsid w:val="0010721B"/>
    <w:rsid w:val="00112751"/>
    <w:rsid w:val="00122AD5"/>
    <w:rsid w:val="00125015"/>
    <w:rsid w:val="00126E54"/>
    <w:rsid w:val="0014147B"/>
    <w:rsid w:val="001459AA"/>
    <w:rsid w:val="00153877"/>
    <w:rsid w:val="00155B08"/>
    <w:rsid w:val="001570A6"/>
    <w:rsid w:val="00166919"/>
    <w:rsid w:val="00170793"/>
    <w:rsid w:val="001C0A54"/>
    <w:rsid w:val="001C18DB"/>
    <w:rsid w:val="001D298D"/>
    <w:rsid w:val="001D419C"/>
    <w:rsid w:val="001D750A"/>
    <w:rsid w:val="00234B5D"/>
    <w:rsid w:val="00245E21"/>
    <w:rsid w:val="002469C4"/>
    <w:rsid w:val="002532BC"/>
    <w:rsid w:val="00257F60"/>
    <w:rsid w:val="00267971"/>
    <w:rsid w:val="00290214"/>
    <w:rsid w:val="00292B64"/>
    <w:rsid w:val="002940E8"/>
    <w:rsid w:val="002A6F43"/>
    <w:rsid w:val="002A72C3"/>
    <w:rsid w:val="002C2F2C"/>
    <w:rsid w:val="002C7C15"/>
    <w:rsid w:val="002E3961"/>
    <w:rsid w:val="002E771B"/>
    <w:rsid w:val="002E7FE0"/>
    <w:rsid w:val="002F0CF1"/>
    <w:rsid w:val="002F482D"/>
    <w:rsid w:val="00302916"/>
    <w:rsid w:val="00305343"/>
    <w:rsid w:val="00321DB5"/>
    <w:rsid w:val="0033142C"/>
    <w:rsid w:val="003321C6"/>
    <w:rsid w:val="003448C5"/>
    <w:rsid w:val="00346AE3"/>
    <w:rsid w:val="00360490"/>
    <w:rsid w:val="003637AE"/>
    <w:rsid w:val="00366AF6"/>
    <w:rsid w:val="0037485F"/>
    <w:rsid w:val="003827FE"/>
    <w:rsid w:val="00391CB8"/>
    <w:rsid w:val="003A3753"/>
    <w:rsid w:val="003C301F"/>
    <w:rsid w:val="003C71E1"/>
    <w:rsid w:val="003C7421"/>
    <w:rsid w:val="003D0987"/>
    <w:rsid w:val="003D75B7"/>
    <w:rsid w:val="003F0745"/>
    <w:rsid w:val="003F2E41"/>
    <w:rsid w:val="00413B64"/>
    <w:rsid w:val="00417F29"/>
    <w:rsid w:val="00451BCE"/>
    <w:rsid w:val="0045581B"/>
    <w:rsid w:val="0046194A"/>
    <w:rsid w:val="004631B3"/>
    <w:rsid w:val="00476492"/>
    <w:rsid w:val="0047668F"/>
    <w:rsid w:val="004A4C51"/>
    <w:rsid w:val="004C0645"/>
    <w:rsid w:val="004C0D94"/>
    <w:rsid w:val="004C65F9"/>
    <w:rsid w:val="004D0825"/>
    <w:rsid w:val="004E5079"/>
    <w:rsid w:val="004E57CF"/>
    <w:rsid w:val="00507204"/>
    <w:rsid w:val="005211E7"/>
    <w:rsid w:val="0052479C"/>
    <w:rsid w:val="00544792"/>
    <w:rsid w:val="00544D35"/>
    <w:rsid w:val="0055064A"/>
    <w:rsid w:val="005518AB"/>
    <w:rsid w:val="005567AD"/>
    <w:rsid w:val="00573533"/>
    <w:rsid w:val="00590389"/>
    <w:rsid w:val="005D2E79"/>
    <w:rsid w:val="005F2630"/>
    <w:rsid w:val="006042BF"/>
    <w:rsid w:val="00607750"/>
    <w:rsid w:val="00610F38"/>
    <w:rsid w:val="00626868"/>
    <w:rsid w:val="0063047D"/>
    <w:rsid w:val="006411DA"/>
    <w:rsid w:val="00656DE4"/>
    <w:rsid w:val="00662089"/>
    <w:rsid w:val="006712CE"/>
    <w:rsid w:val="0067551E"/>
    <w:rsid w:val="0068016B"/>
    <w:rsid w:val="00691195"/>
    <w:rsid w:val="006B385E"/>
    <w:rsid w:val="006B518F"/>
    <w:rsid w:val="006B7054"/>
    <w:rsid w:val="006E4EAE"/>
    <w:rsid w:val="006E7F6F"/>
    <w:rsid w:val="006F035F"/>
    <w:rsid w:val="006F2299"/>
    <w:rsid w:val="007147CE"/>
    <w:rsid w:val="0072065A"/>
    <w:rsid w:val="00727EFA"/>
    <w:rsid w:val="007304E3"/>
    <w:rsid w:val="00742C27"/>
    <w:rsid w:val="00764B6F"/>
    <w:rsid w:val="007903D0"/>
    <w:rsid w:val="0079768D"/>
    <w:rsid w:val="007C545E"/>
    <w:rsid w:val="007D068F"/>
    <w:rsid w:val="007D48FF"/>
    <w:rsid w:val="007E4469"/>
    <w:rsid w:val="00804F72"/>
    <w:rsid w:val="00812D46"/>
    <w:rsid w:val="00820962"/>
    <w:rsid w:val="008231CB"/>
    <w:rsid w:val="00825D53"/>
    <w:rsid w:val="008379A4"/>
    <w:rsid w:val="00847D8D"/>
    <w:rsid w:val="00866337"/>
    <w:rsid w:val="00873ADE"/>
    <w:rsid w:val="00873BA9"/>
    <w:rsid w:val="00884229"/>
    <w:rsid w:val="00894D46"/>
    <w:rsid w:val="008A14BB"/>
    <w:rsid w:val="008A743F"/>
    <w:rsid w:val="008B4A7E"/>
    <w:rsid w:val="008D0DD6"/>
    <w:rsid w:val="008D1265"/>
    <w:rsid w:val="008D4276"/>
    <w:rsid w:val="008E26EE"/>
    <w:rsid w:val="008E558C"/>
    <w:rsid w:val="00905471"/>
    <w:rsid w:val="00933794"/>
    <w:rsid w:val="009416E0"/>
    <w:rsid w:val="0095345A"/>
    <w:rsid w:val="00966C5D"/>
    <w:rsid w:val="0097073A"/>
    <w:rsid w:val="00972B97"/>
    <w:rsid w:val="00974957"/>
    <w:rsid w:val="0099127B"/>
    <w:rsid w:val="0099196D"/>
    <w:rsid w:val="00992D7E"/>
    <w:rsid w:val="009A25C1"/>
    <w:rsid w:val="009A2C21"/>
    <w:rsid w:val="009A5E48"/>
    <w:rsid w:val="009B0817"/>
    <w:rsid w:val="009B56CF"/>
    <w:rsid w:val="00A020D7"/>
    <w:rsid w:val="00A0464D"/>
    <w:rsid w:val="00A06BE4"/>
    <w:rsid w:val="00A120B0"/>
    <w:rsid w:val="00A145CE"/>
    <w:rsid w:val="00A17E15"/>
    <w:rsid w:val="00A20575"/>
    <w:rsid w:val="00A22250"/>
    <w:rsid w:val="00A27003"/>
    <w:rsid w:val="00A33FAB"/>
    <w:rsid w:val="00A55DC8"/>
    <w:rsid w:val="00A5672E"/>
    <w:rsid w:val="00A64102"/>
    <w:rsid w:val="00A935A8"/>
    <w:rsid w:val="00AB7579"/>
    <w:rsid w:val="00AB7CD1"/>
    <w:rsid w:val="00AE10DD"/>
    <w:rsid w:val="00AE5E9D"/>
    <w:rsid w:val="00B070C3"/>
    <w:rsid w:val="00B10F4D"/>
    <w:rsid w:val="00B2372B"/>
    <w:rsid w:val="00B348A7"/>
    <w:rsid w:val="00B416CF"/>
    <w:rsid w:val="00B418C0"/>
    <w:rsid w:val="00B65807"/>
    <w:rsid w:val="00B740AE"/>
    <w:rsid w:val="00B9001A"/>
    <w:rsid w:val="00BA612F"/>
    <w:rsid w:val="00BC1224"/>
    <w:rsid w:val="00BD1522"/>
    <w:rsid w:val="00BD1C7A"/>
    <w:rsid w:val="00BE6605"/>
    <w:rsid w:val="00BF6591"/>
    <w:rsid w:val="00C14B7C"/>
    <w:rsid w:val="00C14C9A"/>
    <w:rsid w:val="00C14E18"/>
    <w:rsid w:val="00C51F1F"/>
    <w:rsid w:val="00C55146"/>
    <w:rsid w:val="00C6551E"/>
    <w:rsid w:val="00C83A66"/>
    <w:rsid w:val="00C90A67"/>
    <w:rsid w:val="00C95866"/>
    <w:rsid w:val="00C97685"/>
    <w:rsid w:val="00CA22CC"/>
    <w:rsid w:val="00CA69B6"/>
    <w:rsid w:val="00CB541F"/>
    <w:rsid w:val="00CD580B"/>
    <w:rsid w:val="00CE7C0D"/>
    <w:rsid w:val="00D009B2"/>
    <w:rsid w:val="00D0370F"/>
    <w:rsid w:val="00D11DD9"/>
    <w:rsid w:val="00D14D12"/>
    <w:rsid w:val="00D2563C"/>
    <w:rsid w:val="00D455F5"/>
    <w:rsid w:val="00D47031"/>
    <w:rsid w:val="00D70339"/>
    <w:rsid w:val="00D727C1"/>
    <w:rsid w:val="00D74C81"/>
    <w:rsid w:val="00DC0DA0"/>
    <w:rsid w:val="00DC7A59"/>
    <w:rsid w:val="00DF6123"/>
    <w:rsid w:val="00E017B6"/>
    <w:rsid w:val="00E0375E"/>
    <w:rsid w:val="00E10198"/>
    <w:rsid w:val="00E1384B"/>
    <w:rsid w:val="00E15B6C"/>
    <w:rsid w:val="00E1600B"/>
    <w:rsid w:val="00E1700F"/>
    <w:rsid w:val="00E32A83"/>
    <w:rsid w:val="00E401D9"/>
    <w:rsid w:val="00E4089E"/>
    <w:rsid w:val="00E40C18"/>
    <w:rsid w:val="00E42CB7"/>
    <w:rsid w:val="00E43A54"/>
    <w:rsid w:val="00E61A6E"/>
    <w:rsid w:val="00E77299"/>
    <w:rsid w:val="00E9139E"/>
    <w:rsid w:val="00EA0379"/>
    <w:rsid w:val="00EA7C18"/>
    <w:rsid w:val="00EB31E5"/>
    <w:rsid w:val="00EC005C"/>
    <w:rsid w:val="00EE09CF"/>
    <w:rsid w:val="00EE30D1"/>
    <w:rsid w:val="00EE5190"/>
    <w:rsid w:val="00EF56CF"/>
    <w:rsid w:val="00F35953"/>
    <w:rsid w:val="00F60113"/>
    <w:rsid w:val="00F66687"/>
    <w:rsid w:val="00F670C7"/>
    <w:rsid w:val="00F718A0"/>
    <w:rsid w:val="00F872AC"/>
    <w:rsid w:val="00FA5824"/>
    <w:rsid w:val="00FA5B8C"/>
    <w:rsid w:val="00FC48BC"/>
    <w:rsid w:val="00FC7BBE"/>
    <w:rsid w:val="00FD2162"/>
    <w:rsid w:val="00FD68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FE1E"/>
  <w15:chartTrackingRefBased/>
  <w15:docId w15:val="{5E323A6C-39C7-4E56-AC12-FEB9B4EA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76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46AE3"/>
    <w:pPr>
      <w:ind w:left="720"/>
      <w:contextualSpacing/>
    </w:pPr>
  </w:style>
  <w:style w:type="character" w:styleId="Marquedecommentaire">
    <w:name w:val="annotation reference"/>
    <w:basedOn w:val="Policepardfaut"/>
    <w:uiPriority w:val="99"/>
    <w:semiHidden/>
    <w:unhideWhenUsed/>
    <w:rsid w:val="00804F72"/>
    <w:rPr>
      <w:sz w:val="16"/>
      <w:szCs w:val="16"/>
    </w:rPr>
  </w:style>
  <w:style w:type="paragraph" w:styleId="Commentaire">
    <w:name w:val="annotation text"/>
    <w:basedOn w:val="Normal"/>
    <w:link w:val="CommentaireCar"/>
    <w:uiPriority w:val="99"/>
    <w:semiHidden/>
    <w:unhideWhenUsed/>
    <w:rsid w:val="00804F72"/>
    <w:pPr>
      <w:spacing w:line="240" w:lineRule="auto"/>
    </w:pPr>
    <w:rPr>
      <w:sz w:val="20"/>
      <w:szCs w:val="20"/>
    </w:rPr>
  </w:style>
  <w:style w:type="character" w:customStyle="1" w:styleId="CommentaireCar">
    <w:name w:val="Commentaire Car"/>
    <w:basedOn w:val="Policepardfaut"/>
    <w:link w:val="Commentaire"/>
    <w:uiPriority w:val="99"/>
    <w:semiHidden/>
    <w:rsid w:val="00804F72"/>
    <w:rPr>
      <w:sz w:val="20"/>
      <w:szCs w:val="20"/>
    </w:rPr>
  </w:style>
  <w:style w:type="paragraph" w:styleId="Objetducommentaire">
    <w:name w:val="annotation subject"/>
    <w:basedOn w:val="Commentaire"/>
    <w:next w:val="Commentaire"/>
    <w:link w:val="ObjetducommentaireCar"/>
    <w:uiPriority w:val="99"/>
    <w:semiHidden/>
    <w:unhideWhenUsed/>
    <w:rsid w:val="00804F72"/>
    <w:rPr>
      <w:b/>
      <w:bCs/>
    </w:rPr>
  </w:style>
  <w:style w:type="character" w:customStyle="1" w:styleId="ObjetducommentaireCar">
    <w:name w:val="Objet du commentaire Car"/>
    <w:basedOn w:val="CommentaireCar"/>
    <w:link w:val="Objetducommentaire"/>
    <w:uiPriority w:val="99"/>
    <w:semiHidden/>
    <w:rsid w:val="00804F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3F12137CB71B4E800428E3EF8BF9E6" ma:contentTypeVersion="13" ma:contentTypeDescription="Crée un document." ma:contentTypeScope="" ma:versionID="b689c22ff4d4935ea9ca84ae8569a2b2">
  <xsd:schema xmlns:xsd="http://www.w3.org/2001/XMLSchema" xmlns:xs="http://www.w3.org/2001/XMLSchema" xmlns:p="http://schemas.microsoft.com/office/2006/metadata/properties" xmlns:ns2="cca09a29-b3cc-4073-9554-62453c407f28" xmlns:ns3="1a22a3da-5fba-401d-a15f-7fb46969e527" targetNamespace="http://schemas.microsoft.com/office/2006/metadata/properties" ma:root="true" ma:fieldsID="67115c1095268a7e10503769262a6f4b" ns2:_="" ns3:_="">
    <xsd:import namespace="cca09a29-b3cc-4073-9554-62453c407f28"/>
    <xsd:import namespace="1a22a3da-5fba-401d-a15f-7fb46969e5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09a29-b3cc-4073-9554-62453c407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22a3da-5fba-401d-a15f-7fb46969e52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DD3D33-E1DF-4902-AC28-D200E5EBDD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FD8EE8-48A4-484C-9850-EACD54DADC28}">
  <ds:schemaRefs>
    <ds:schemaRef ds:uri="http://schemas.microsoft.com/sharepoint/v3/contenttype/forms"/>
  </ds:schemaRefs>
</ds:datastoreItem>
</file>

<file path=customXml/itemProps3.xml><?xml version="1.0" encoding="utf-8"?>
<ds:datastoreItem xmlns:ds="http://schemas.openxmlformats.org/officeDocument/2006/customXml" ds:itemID="{F1654AAF-8C2B-4E44-BAF5-7C251E4D2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09a29-b3cc-4073-9554-62453c407f28"/>
    <ds:schemaRef ds:uri="1a22a3da-5fba-401d-a15f-7fb46969e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992</Words>
  <Characters>5457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Clarisse WALCKENAER</dc:creator>
  <cp:keywords/>
  <dc:description/>
  <cp:lastModifiedBy>Clarisse WALCKENAER</cp:lastModifiedBy>
  <cp:revision>43</cp:revision>
  <dcterms:created xsi:type="dcterms:W3CDTF">2021-10-19T14:58:00Z</dcterms:created>
  <dcterms:modified xsi:type="dcterms:W3CDTF">2021-10-21T07:29:00Z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0x010100903F12137CB71B4E800428E3EF8BF9E6</vt:lpwstr>
  </property>
</Properties>
</file>