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706"/>
        <w:gridCol w:w="1592"/>
        <w:gridCol w:w="2686"/>
        <w:gridCol w:w="2070"/>
        <w:gridCol w:w="3570"/>
        <w:gridCol w:w="2364"/>
      </w:tblGrid>
      <w:tr w:rsidR="005800C5" w:rsidRPr="005800C5" w14:paraId="3622BEC4" w14:textId="77777777" w:rsidTr="005800C5">
        <w:trPr>
          <w:tblHeader/>
        </w:trPr>
        <w:tc>
          <w:tcPr>
            <w:tcW w:w="610" w:type="pct"/>
            <w:tcBorders>
              <w:top w:val="single" w:sz="6" w:space="0" w:color="CCCCCC"/>
              <w:left w:val="single" w:sz="6" w:space="0" w:color="CCCCCC"/>
              <w:bottom w:val="single" w:sz="6" w:space="0" w:color="CCCCCC"/>
              <w:right w:val="single" w:sz="6" w:space="0" w:color="CCCCCC"/>
            </w:tcBorders>
            <w:shd w:val="clear" w:color="auto" w:fill="44546A" w:themeFill="text2"/>
            <w:tcMar>
              <w:top w:w="24" w:type="dxa"/>
              <w:left w:w="72" w:type="dxa"/>
              <w:bottom w:w="24" w:type="dxa"/>
              <w:right w:w="72" w:type="dxa"/>
            </w:tcMar>
            <w:vAlign w:val="center"/>
            <w:hideMark/>
          </w:tcPr>
          <w:p w14:paraId="2903F683" w14:textId="731BAF41" w:rsidR="005800C5" w:rsidRPr="005800C5" w:rsidRDefault="005800C5" w:rsidP="005800C5">
            <w:pPr>
              <w:jc w:val="center"/>
              <w:rPr>
                <w:rFonts w:asciiTheme="minorHAnsi" w:hAnsiTheme="minorHAnsi" w:cstheme="minorHAnsi"/>
                <w:color w:val="FFFFFF" w:themeColor="background1"/>
              </w:rPr>
            </w:pPr>
            <w:r w:rsidRPr="005800C5">
              <w:rPr>
                <w:rFonts w:asciiTheme="minorHAnsi" w:hAnsiTheme="minorHAnsi" w:cstheme="minorHAnsi"/>
                <w:color w:val="FFFFFF" w:themeColor="background1"/>
              </w:rPr>
              <w:t xml:space="preserve">Taille de </w:t>
            </w:r>
            <w:r w:rsidRPr="005800C5">
              <w:rPr>
                <w:rFonts w:asciiTheme="minorHAnsi" w:hAnsiTheme="minorHAnsi" w:cstheme="minorHAnsi"/>
                <w:color w:val="FFFFFF" w:themeColor="background1"/>
              </w:rPr>
              <w:t>d’établissement</w:t>
            </w:r>
          </w:p>
        </w:tc>
        <w:tc>
          <w:tcPr>
            <w:tcW w:w="569" w:type="pct"/>
            <w:tcBorders>
              <w:top w:val="single" w:sz="6" w:space="0" w:color="CCCCCC"/>
              <w:left w:val="single" w:sz="6" w:space="0" w:color="CCCCCC"/>
              <w:bottom w:val="single" w:sz="6" w:space="0" w:color="CCCCCC"/>
              <w:right w:val="single" w:sz="6" w:space="0" w:color="CCCCCC"/>
            </w:tcBorders>
            <w:shd w:val="clear" w:color="auto" w:fill="44546A" w:themeFill="text2"/>
            <w:tcMar>
              <w:top w:w="24" w:type="dxa"/>
              <w:left w:w="72" w:type="dxa"/>
              <w:bottom w:w="24" w:type="dxa"/>
              <w:right w:w="72" w:type="dxa"/>
            </w:tcMar>
            <w:vAlign w:val="center"/>
            <w:hideMark/>
          </w:tcPr>
          <w:p w14:paraId="1814C760" w14:textId="77777777" w:rsidR="005800C5" w:rsidRPr="005800C5" w:rsidRDefault="005800C5" w:rsidP="005800C5">
            <w:pPr>
              <w:jc w:val="center"/>
              <w:rPr>
                <w:rFonts w:asciiTheme="minorHAnsi" w:hAnsiTheme="minorHAnsi" w:cstheme="minorHAnsi"/>
                <w:color w:val="FFFFFF" w:themeColor="background1"/>
              </w:rPr>
            </w:pPr>
            <w:r w:rsidRPr="005800C5">
              <w:rPr>
                <w:rFonts w:asciiTheme="minorHAnsi" w:hAnsiTheme="minorHAnsi" w:cstheme="minorHAnsi"/>
                <w:color w:val="FFFFFF" w:themeColor="background1"/>
              </w:rPr>
              <w:t>Obligation de négocier</w:t>
            </w:r>
          </w:p>
        </w:tc>
        <w:tc>
          <w:tcPr>
            <w:tcW w:w="960" w:type="pct"/>
            <w:tcBorders>
              <w:top w:val="single" w:sz="6" w:space="0" w:color="CCCCCC"/>
              <w:left w:val="single" w:sz="6" w:space="0" w:color="CCCCCC"/>
              <w:bottom w:val="single" w:sz="6" w:space="0" w:color="CCCCCC"/>
              <w:right w:val="single" w:sz="6" w:space="0" w:color="CCCCCC"/>
            </w:tcBorders>
            <w:shd w:val="clear" w:color="auto" w:fill="44546A" w:themeFill="text2"/>
            <w:tcMar>
              <w:top w:w="24" w:type="dxa"/>
              <w:left w:w="72" w:type="dxa"/>
              <w:bottom w:w="24" w:type="dxa"/>
              <w:right w:w="72" w:type="dxa"/>
            </w:tcMar>
            <w:vAlign w:val="center"/>
            <w:hideMark/>
          </w:tcPr>
          <w:p w14:paraId="703161CC" w14:textId="77777777" w:rsidR="005800C5" w:rsidRPr="005800C5" w:rsidRDefault="005800C5" w:rsidP="005800C5">
            <w:pPr>
              <w:jc w:val="center"/>
              <w:rPr>
                <w:rFonts w:asciiTheme="minorHAnsi" w:hAnsiTheme="minorHAnsi" w:cstheme="minorHAnsi"/>
                <w:color w:val="FFFFFF" w:themeColor="background1"/>
              </w:rPr>
            </w:pPr>
            <w:r w:rsidRPr="005800C5">
              <w:rPr>
                <w:rFonts w:asciiTheme="minorHAnsi" w:hAnsiTheme="minorHAnsi" w:cstheme="minorHAnsi"/>
                <w:color w:val="FFFFFF" w:themeColor="background1"/>
              </w:rPr>
              <w:t>Contenu</w:t>
            </w:r>
          </w:p>
        </w:tc>
        <w:tc>
          <w:tcPr>
            <w:tcW w:w="740" w:type="pct"/>
            <w:tcBorders>
              <w:top w:val="single" w:sz="6" w:space="0" w:color="CCCCCC"/>
              <w:left w:val="single" w:sz="6" w:space="0" w:color="CCCCCC"/>
              <w:bottom w:val="single" w:sz="6" w:space="0" w:color="CCCCCC"/>
              <w:right w:val="single" w:sz="6" w:space="0" w:color="CCCCCC"/>
            </w:tcBorders>
            <w:shd w:val="clear" w:color="auto" w:fill="44546A" w:themeFill="text2"/>
            <w:tcMar>
              <w:top w:w="24" w:type="dxa"/>
              <w:left w:w="72" w:type="dxa"/>
              <w:bottom w:w="24" w:type="dxa"/>
              <w:right w:w="72" w:type="dxa"/>
            </w:tcMar>
            <w:vAlign w:val="center"/>
            <w:hideMark/>
          </w:tcPr>
          <w:p w14:paraId="5B45E9E1" w14:textId="77777777" w:rsidR="005800C5" w:rsidRPr="005800C5" w:rsidRDefault="005800C5" w:rsidP="005800C5">
            <w:pPr>
              <w:jc w:val="center"/>
              <w:rPr>
                <w:rFonts w:asciiTheme="minorHAnsi" w:hAnsiTheme="minorHAnsi" w:cstheme="minorHAnsi"/>
                <w:color w:val="FFFFFF" w:themeColor="background1"/>
              </w:rPr>
            </w:pPr>
            <w:r w:rsidRPr="005800C5">
              <w:rPr>
                <w:rFonts w:asciiTheme="minorHAnsi" w:hAnsiTheme="minorHAnsi" w:cstheme="minorHAnsi"/>
                <w:color w:val="FFFFFF" w:themeColor="background1"/>
              </w:rPr>
              <w:t>Si accord</w:t>
            </w:r>
          </w:p>
        </w:tc>
        <w:tc>
          <w:tcPr>
            <w:tcW w:w="1276" w:type="pct"/>
            <w:tcBorders>
              <w:top w:val="single" w:sz="6" w:space="0" w:color="CCCCCC"/>
              <w:left w:val="single" w:sz="6" w:space="0" w:color="CCCCCC"/>
              <w:bottom w:val="single" w:sz="6" w:space="0" w:color="CCCCCC"/>
              <w:right w:val="single" w:sz="6" w:space="0" w:color="CCCCCC"/>
            </w:tcBorders>
            <w:shd w:val="clear" w:color="auto" w:fill="44546A" w:themeFill="text2"/>
            <w:tcMar>
              <w:top w:w="24" w:type="dxa"/>
              <w:left w:w="72" w:type="dxa"/>
              <w:bottom w:w="24" w:type="dxa"/>
              <w:right w:w="72" w:type="dxa"/>
            </w:tcMar>
            <w:vAlign w:val="center"/>
            <w:hideMark/>
          </w:tcPr>
          <w:p w14:paraId="242A5394" w14:textId="77777777" w:rsidR="005800C5" w:rsidRPr="005800C5" w:rsidRDefault="005800C5" w:rsidP="005800C5">
            <w:pPr>
              <w:jc w:val="center"/>
              <w:rPr>
                <w:rFonts w:asciiTheme="minorHAnsi" w:hAnsiTheme="minorHAnsi" w:cstheme="minorHAnsi"/>
                <w:color w:val="FFFFFF" w:themeColor="background1"/>
              </w:rPr>
            </w:pPr>
            <w:r w:rsidRPr="005800C5">
              <w:rPr>
                <w:rFonts w:asciiTheme="minorHAnsi" w:hAnsiTheme="minorHAnsi" w:cstheme="minorHAnsi"/>
                <w:color w:val="FFFFFF" w:themeColor="background1"/>
              </w:rPr>
              <w:t>Si pas d'accord</w:t>
            </w:r>
          </w:p>
        </w:tc>
        <w:tc>
          <w:tcPr>
            <w:tcW w:w="845" w:type="pct"/>
            <w:tcBorders>
              <w:top w:val="single" w:sz="6" w:space="0" w:color="CCCCCC"/>
              <w:left w:val="single" w:sz="6" w:space="0" w:color="CCCCCC"/>
              <w:bottom w:val="single" w:sz="6" w:space="0" w:color="CCCCCC"/>
              <w:right w:val="single" w:sz="6" w:space="0" w:color="CCCCCC"/>
            </w:tcBorders>
            <w:shd w:val="clear" w:color="auto" w:fill="44546A" w:themeFill="text2"/>
            <w:tcMar>
              <w:top w:w="24" w:type="dxa"/>
              <w:left w:w="72" w:type="dxa"/>
              <w:bottom w:w="24" w:type="dxa"/>
              <w:right w:w="72" w:type="dxa"/>
            </w:tcMar>
            <w:vAlign w:val="center"/>
            <w:hideMark/>
          </w:tcPr>
          <w:p w14:paraId="06D50B64" w14:textId="77777777" w:rsidR="005800C5" w:rsidRPr="005800C5" w:rsidRDefault="005800C5" w:rsidP="005800C5">
            <w:pPr>
              <w:jc w:val="center"/>
              <w:rPr>
                <w:rFonts w:asciiTheme="minorHAnsi" w:hAnsiTheme="minorHAnsi" w:cstheme="minorHAnsi"/>
                <w:color w:val="FFFFFF" w:themeColor="background1"/>
                <w:lang w:val="fr-FR"/>
              </w:rPr>
            </w:pPr>
            <w:r w:rsidRPr="005800C5">
              <w:rPr>
                <w:rFonts w:asciiTheme="minorHAnsi" w:hAnsiTheme="minorHAnsi" w:cstheme="minorHAnsi"/>
                <w:color w:val="FFFFFF" w:themeColor="background1"/>
                <w:lang w:val="fr-FR"/>
              </w:rPr>
              <w:t>Si pas d'accord et pas de plan d'action</w:t>
            </w:r>
          </w:p>
        </w:tc>
      </w:tr>
      <w:tr w:rsidR="009F48C4" w:rsidRPr="005800C5" w14:paraId="3A5AE2B6" w14:textId="77777777" w:rsidTr="000364F2">
        <w:tc>
          <w:tcPr>
            <w:tcW w:w="610" w:type="pct"/>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6DFD2AF5" w14:textId="49A5E0EC" w:rsidR="009F48C4" w:rsidRPr="005800C5" w:rsidRDefault="009F48C4" w:rsidP="005800C5">
            <w:pPr>
              <w:rPr>
                <w:rFonts w:asciiTheme="minorHAnsi" w:hAnsiTheme="minorHAnsi" w:cstheme="minorHAnsi"/>
                <w:lang w:val="fr-FR"/>
              </w:rPr>
            </w:pPr>
            <w:r w:rsidRPr="005800C5">
              <w:rPr>
                <w:rFonts w:asciiTheme="minorHAnsi" w:hAnsiTheme="minorHAnsi" w:cstheme="minorHAnsi"/>
                <w:lang w:val="fr-FR"/>
              </w:rPr>
              <w:t>Etablissement de</w:t>
            </w:r>
            <w:r w:rsidRPr="005800C5">
              <w:rPr>
                <w:rFonts w:asciiTheme="minorHAnsi" w:hAnsiTheme="minorHAnsi" w:cstheme="minorHAnsi"/>
                <w:lang w:val="fr-FR"/>
              </w:rPr>
              <w:t xml:space="preserve"> moins de 50 salariés</w:t>
            </w:r>
            <w:r w:rsidRPr="005800C5">
              <w:rPr>
                <w:rFonts w:asciiTheme="minorHAnsi" w:hAnsiTheme="minorHAnsi" w:cstheme="minorHAnsi"/>
                <w:lang w:val="fr-FR"/>
              </w:rPr>
              <w:t xml:space="preserve"> (hors enseignants)</w:t>
            </w:r>
          </w:p>
        </w:tc>
        <w:tc>
          <w:tcPr>
            <w:tcW w:w="569" w:type="pct"/>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2465FD54" w14:textId="77777777" w:rsidR="009F48C4" w:rsidRPr="005800C5" w:rsidRDefault="009F48C4" w:rsidP="005800C5">
            <w:pPr>
              <w:rPr>
                <w:rFonts w:asciiTheme="minorHAnsi" w:hAnsiTheme="minorHAnsi" w:cstheme="minorHAnsi"/>
              </w:rPr>
            </w:pPr>
            <w:r w:rsidRPr="005800C5">
              <w:rPr>
                <w:rFonts w:asciiTheme="minorHAnsi" w:hAnsiTheme="minorHAnsi" w:cstheme="minorHAnsi"/>
                <w:lang w:val="fr-FR"/>
              </w:rPr>
              <w:t xml:space="preserve">Oui si délégué syndical a été désigné (C. trav., art. </w:t>
            </w:r>
            <w:r w:rsidRPr="005800C5">
              <w:rPr>
                <w:rFonts w:asciiTheme="minorHAnsi" w:hAnsiTheme="minorHAnsi" w:cstheme="minorHAnsi"/>
              </w:rPr>
              <w:t>L. 2143-6)</w:t>
            </w:r>
          </w:p>
        </w:tc>
        <w:tc>
          <w:tcPr>
            <w:tcW w:w="960" w:type="pct"/>
            <w:vMerge w:val="restart"/>
            <w:tcBorders>
              <w:top w:val="single" w:sz="6" w:space="0" w:color="CCCCCC"/>
              <w:left w:val="single" w:sz="6" w:space="0" w:color="CCCCCC"/>
              <w:right w:val="single" w:sz="6" w:space="0" w:color="CCCCCC"/>
            </w:tcBorders>
            <w:tcMar>
              <w:top w:w="24" w:type="dxa"/>
              <w:left w:w="72" w:type="dxa"/>
              <w:bottom w:w="24" w:type="dxa"/>
              <w:right w:w="72" w:type="dxa"/>
            </w:tcMar>
            <w:vAlign w:val="center"/>
            <w:hideMark/>
          </w:tcPr>
          <w:p w14:paraId="77B450F6" w14:textId="77777777" w:rsidR="009F48C4" w:rsidRPr="005800C5" w:rsidRDefault="009F48C4" w:rsidP="005800C5">
            <w:pPr>
              <w:rPr>
                <w:rFonts w:asciiTheme="minorHAnsi" w:hAnsiTheme="minorHAnsi" w:cstheme="minorHAnsi"/>
                <w:lang w:val="fr-FR"/>
              </w:rPr>
            </w:pPr>
            <w:r w:rsidRPr="005800C5">
              <w:rPr>
                <w:rFonts w:asciiTheme="minorHAnsi" w:hAnsiTheme="minorHAnsi" w:cstheme="minorHAnsi"/>
                <w:lang w:val="fr-FR"/>
              </w:rPr>
              <w:t>L'accord doit :</w:t>
            </w:r>
          </w:p>
          <w:p w14:paraId="5B92D837" w14:textId="77777777" w:rsidR="009F48C4" w:rsidRPr="005800C5" w:rsidRDefault="009F48C4" w:rsidP="005800C5">
            <w:pPr>
              <w:rPr>
                <w:rFonts w:asciiTheme="minorHAnsi" w:hAnsiTheme="minorHAnsi" w:cstheme="minorHAnsi"/>
                <w:lang w:val="fr-FR"/>
              </w:rPr>
            </w:pPr>
            <w:r w:rsidRPr="005800C5">
              <w:rPr>
                <w:rFonts w:asciiTheme="minorHAnsi" w:hAnsiTheme="minorHAnsi" w:cstheme="minorHAnsi"/>
                <w:b/>
                <w:bCs/>
                <w:color w:val="57585C"/>
                <w:lang w:val="fr-FR"/>
              </w:rPr>
              <w:t xml:space="preserve">- </w:t>
            </w:r>
            <w:r w:rsidRPr="005800C5">
              <w:rPr>
                <w:rFonts w:asciiTheme="minorHAnsi" w:hAnsiTheme="minorHAnsi" w:cstheme="minorHAnsi"/>
                <w:lang w:val="fr-FR"/>
              </w:rPr>
              <w:t>porter sur des thèmes prévus par le code du travail (articulation vie professionnelle/vie privée, mesures de lutte contre les discrimination, mesures relatives à l'insertion professionnelle, etc.) ;</w:t>
            </w:r>
          </w:p>
          <w:p w14:paraId="2B7D90B8" w14:textId="77777777" w:rsidR="009F48C4" w:rsidRPr="005800C5" w:rsidRDefault="009F48C4" w:rsidP="005800C5">
            <w:pPr>
              <w:rPr>
                <w:rFonts w:asciiTheme="minorHAnsi" w:hAnsiTheme="minorHAnsi" w:cstheme="minorHAnsi"/>
                <w:lang w:val="fr-FR"/>
              </w:rPr>
            </w:pPr>
            <w:r w:rsidRPr="005800C5">
              <w:rPr>
                <w:rFonts w:asciiTheme="minorHAnsi" w:hAnsiTheme="minorHAnsi" w:cstheme="minorHAnsi"/>
                <w:b/>
                <w:bCs/>
                <w:color w:val="57585C"/>
                <w:lang w:val="fr-FR"/>
              </w:rPr>
              <w:t xml:space="preserve">- </w:t>
            </w:r>
            <w:r w:rsidRPr="005800C5">
              <w:rPr>
                <w:rFonts w:asciiTheme="minorHAnsi" w:hAnsiTheme="minorHAnsi" w:cstheme="minorHAnsi"/>
                <w:lang w:val="fr-FR"/>
              </w:rPr>
              <w:t>contenir des objectifs de progression et les actions permettant de les atteindre portant sur 3 des 9 domaines d'action prévus par la loi (C. trav., art. R. 2242-2).</w:t>
            </w:r>
          </w:p>
          <w:p w14:paraId="0B25BB6A" w14:textId="527AC870" w:rsidR="009F48C4" w:rsidRPr="005800C5" w:rsidRDefault="009F48C4" w:rsidP="005800C5">
            <w:pPr>
              <w:rPr>
                <w:rFonts w:asciiTheme="minorHAnsi" w:hAnsiTheme="minorHAnsi" w:cstheme="minorHAnsi"/>
                <w:lang w:val="fr-FR"/>
              </w:rPr>
            </w:pPr>
            <w:r w:rsidRPr="005800C5">
              <w:rPr>
                <w:rFonts w:asciiTheme="minorHAnsi" w:hAnsiTheme="minorHAnsi" w:cstheme="minorHAnsi"/>
                <w:lang w:val="fr-FR"/>
              </w:rPr>
              <w:t>La rémunération effective est obligatoirement comprise dans les domaines d'action retenus par l'accord collectif.</w:t>
            </w:r>
          </w:p>
        </w:tc>
        <w:tc>
          <w:tcPr>
            <w:tcW w:w="740" w:type="pct"/>
            <w:vMerge w:val="restart"/>
            <w:tcBorders>
              <w:top w:val="single" w:sz="6" w:space="0" w:color="CCCCCC"/>
              <w:left w:val="single" w:sz="6" w:space="0" w:color="CCCCCC"/>
              <w:right w:val="single" w:sz="6" w:space="0" w:color="CCCCCC"/>
            </w:tcBorders>
            <w:tcMar>
              <w:top w:w="24" w:type="dxa"/>
              <w:left w:w="72" w:type="dxa"/>
              <w:bottom w:w="24" w:type="dxa"/>
              <w:right w:w="72" w:type="dxa"/>
            </w:tcMar>
            <w:vAlign w:val="center"/>
            <w:hideMark/>
          </w:tcPr>
          <w:p w14:paraId="51A6DD22" w14:textId="214ADE84" w:rsidR="009F48C4" w:rsidRPr="005800C5" w:rsidRDefault="009F48C4" w:rsidP="005800C5">
            <w:pPr>
              <w:rPr>
                <w:rFonts w:asciiTheme="minorHAnsi" w:hAnsiTheme="minorHAnsi" w:cstheme="minorHAnsi"/>
              </w:rPr>
            </w:pPr>
            <w:r w:rsidRPr="005800C5">
              <w:rPr>
                <w:rFonts w:asciiTheme="minorHAnsi" w:hAnsiTheme="minorHAnsi" w:cstheme="minorHAnsi"/>
              </w:rPr>
              <w:t>Transmission à l'autorité administrative</w:t>
            </w:r>
          </w:p>
        </w:tc>
        <w:tc>
          <w:tcPr>
            <w:tcW w:w="1276" w:type="pct"/>
            <w:vMerge w:val="restart"/>
            <w:tcBorders>
              <w:top w:val="single" w:sz="6" w:space="0" w:color="CCCCCC"/>
              <w:left w:val="single" w:sz="6" w:space="0" w:color="CCCCCC"/>
              <w:right w:val="single" w:sz="6" w:space="0" w:color="CCCCCC"/>
            </w:tcBorders>
            <w:tcMar>
              <w:top w:w="24" w:type="dxa"/>
              <w:left w:w="72" w:type="dxa"/>
              <w:bottom w:w="24" w:type="dxa"/>
              <w:right w:w="72" w:type="dxa"/>
            </w:tcMar>
            <w:vAlign w:val="center"/>
            <w:hideMark/>
          </w:tcPr>
          <w:p w14:paraId="097E4F93" w14:textId="504992F0" w:rsidR="009F48C4" w:rsidRDefault="009F48C4" w:rsidP="005800C5">
            <w:pPr>
              <w:rPr>
                <w:rFonts w:asciiTheme="minorHAnsi" w:hAnsiTheme="minorHAnsi" w:cstheme="minorHAnsi"/>
                <w:lang w:val="fr-FR"/>
              </w:rPr>
            </w:pPr>
            <w:r w:rsidRPr="005800C5">
              <w:rPr>
                <w:rFonts w:asciiTheme="minorHAnsi" w:hAnsiTheme="minorHAnsi" w:cstheme="minorHAnsi"/>
                <w:lang w:val="fr-FR"/>
              </w:rPr>
              <w:t xml:space="preserve">1/ L'employeur doit établir un </w:t>
            </w:r>
            <w:r w:rsidRPr="009F48C4">
              <w:rPr>
                <w:rFonts w:asciiTheme="minorHAnsi" w:hAnsiTheme="minorHAnsi" w:cstheme="minorHAnsi"/>
                <w:color w:val="FF0000"/>
                <w:lang w:val="fr-FR"/>
              </w:rPr>
              <w:t xml:space="preserve">plan d'action annuel </w:t>
            </w:r>
            <w:r w:rsidRPr="005800C5">
              <w:rPr>
                <w:rFonts w:asciiTheme="minorHAnsi" w:hAnsiTheme="minorHAnsi" w:cstheme="minorHAnsi"/>
                <w:lang w:val="fr-FR"/>
              </w:rPr>
              <w:t>destiné à assurer l'égalité professionnelle entre les femmes et les hommes</w:t>
            </w:r>
          </w:p>
          <w:p w14:paraId="3196D196" w14:textId="77777777" w:rsidR="009F48C4" w:rsidRPr="005800C5" w:rsidRDefault="009F48C4" w:rsidP="005800C5">
            <w:pPr>
              <w:rPr>
                <w:rFonts w:asciiTheme="minorHAnsi" w:hAnsiTheme="minorHAnsi" w:cstheme="minorHAnsi"/>
                <w:lang w:val="fr-FR"/>
              </w:rPr>
            </w:pPr>
          </w:p>
          <w:p w14:paraId="4DBF754C" w14:textId="14A514F1" w:rsidR="009F48C4" w:rsidRPr="005800C5" w:rsidRDefault="009F48C4" w:rsidP="005800C5">
            <w:pPr>
              <w:rPr>
                <w:rFonts w:asciiTheme="minorHAnsi" w:hAnsiTheme="minorHAnsi" w:cstheme="minorHAnsi"/>
                <w:lang w:val="fr-FR"/>
              </w:rPr>
            </w:pPr>
            <w:r w:rsidRPr="005800C5">
              <w:rPr>
                <w:rFonts w:asciiTheme="minorHAnsi" w:hAnsiTheme="minorHAnsi" w:cstheme="minorHAnsi"/>
                <w:lang w:val="fr-FR"/>
              </w:rPr>
              <w:t>2/ La négociation annuelle sur les salaires effectifs porte également sur la programmation de mesures permettant de supprimer les écarts de rémunération et les différences de déroulement de carrière entre les femmes et les hommes</w:t>
            </w:r>
          </w:p>
        </w:tc>
        <w:tc>
          <w:tcPr>
            <w:tcW w:w="845" w:type="pct"/>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4503B59B" w14:textId="77777777" w:rsidR="009F48C4" w:rsidRPr="005800C5" w:rsidRDefault="009F48C4" w:rsidP="005800C5">
            <w:pPr>
              <w:rPr>
                <w:rFonts w:asciiTheme="minorHAnsi" w:hAnsiTheme="minorHAnsi" w:cstheme="minorHAnsi"/>
                <w:lang w:val="fr-FR"/>
              </w:rPr>
            </w:pPr>
            <w:r w:rsidRPr="005800C5">
              <w:rPr>
                <w:rFonts w:asciiTheme="minorHAnsi" w:hAnsiTheme="minorHAnsi" w:cstheme="minorHAnsi"/>
                <w:lang w:val="fr-FR"/>
              </w:rPr>
              <w:t>Pas de pénalité financière prévue Mais interdiction de soumissionner aux marchés publics</w:t>
            </w:r>
          </w:p>
        </w:tc>
      </w:tr>
      <w:tr w:rsidR="009F48C4" w:rsidRPr="005800C5" w14:paraId="37A25624" w14:textId="77777777" w:rsidTr="000364F2">
        <w:tc>
          <w:tcPr>
            <w:tcW w:w="610" w:type="pct"/>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4BB82D11" w14:textId="1D658691" w:rsidR="009F48C4" w:rsidRPr="005800C5" w:rsidRDefault="009F48C4" w:rsidP="005800C5">
            <w:pPr>
              <w:rPr>
                <w:rFonts w:asciiTheme="minorHAnsi" w:hAnsiTheme="minorHAnsi" w:cstheme="minorHAnsi"/>
                <w:lang w:val="fr-FR"/>
              </w:rPr>
            </w:pPr>
            <w:r>
              <w:rPr>
                <w:rFonts w:asciiTheme="minorHAnsi" w:hAnsiTheme="minorHAnsi" w:cstheme="minorHAnsi"/>
                <w:lang w:val="fr-FR"/>
              </w:rPr>
              <w:t xml:space="preserve">Etablissement </w:t>
            </w:r>
            <w:r w:rsidRPr="005800C5">
              <w:rPr>
                <w:rFonts w:asciiTheme="minorHAnsi" w:hAnsiTheme="minorHAnsi" w:cstheme="minorHAnsi"/>
                <w:lang w:val="fr-FR"/>
              </w:rPr>
              <w:t>de</w:t>
            </w:r>
            <w:r w:rsidRPr="005800C5">
              <w:rPr>
                <w:rFonts w:asciiTheme="minorHAnsi" w:hAnsiTheme="minorHAnsi" w:cstheme="minorHAnsi"/>
                <w:lang w:val="fr-FR"/>
              </w:rPr>
              <w:t xml:space="preserve"> 50 salariés ou plus</w:t>
            </w:r>
          </w:p>
        </w:tc>
        <w:tc>
          <w:tcPr>
            <w:tcW w:w="569" w:type="pct"/>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73A5D3EB" w14:textId="15F45F93" w:rsidR="009F48C4" w:rsidRPr="005800C5" w:rsidRDefault="009F48C4" w:rsidP="005800C5">
            <w:pPr>
              <w:rPr>
                <w:rFonts w:asciiTheme="minorHAnsi" w:hAnsiTheme="minorHAnsi" w:cstheme="minorHAnsi"/>
              </w:rPr>
            </w:pPr>
            <w:r>
              <w:rPr>
                <w:rFonts w:asciiTheme="minorHAnsi" w:hAnsiTheme="minorHAnsi" w:cstheme="minorHAnsi"/>
              </w:rPr>
              <w:t>O</w:t>
            </w:r>
            <w:r w:rsidRPr="005800C5">
              <w:rPr>
                <w:rFonts w:asciiTheme="minorHAnsi" w:hAnsiTheme="minorHAnsi" w:cstheme="minorHAnsi"/>
              </w:rPr>
              <w:t>ui</w:t>
            </w:r>
          </w:p>
        </w:tc>
        <w:tc>
          <w:tcPr>
            <w:tcW w:w="960" w:type="pct"/>
            <w:vMerge/>
            <w:tcBorders>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2490FECE" w14:textId="40D5386D" w:rsidR="009F48C4" w:rsidRPr="005800C5" w:rsidRDefault="009F48C4" w:rsidP="005800C5">
            <w:pPr>
              <w:rPr>
                <w:rFonts w:asciiTheme="minorHAnsi" w:hAnsiTheme="minorHAnsi" w:cstheme="minorHAnsi"/>
                <w:lang w:val="fr-FR"/>
              </w:rPr>
            </w:pPr>
          </w:p>
        </w:tc>
        <w:tc>
          <w:tcPr>
            <w:tcW w:w="740" w:type="pct"/>
            <w:vMerge/>
            <w:tcBorders>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39883219" w14:textId="2AD28B40" w:rsidR="009F48C4" w:rsidRPr="005800C5" w:rsidRDefault="009F48C4" w:rsidP="005800C5">
            <w:pPr>
              <w:rPr>
                <w:rFonts w:asciiTheme="minorHAnsi" w:hAnsiTheme="minorHAnsi" w:cstheme="minorHAnsi"/>
              </w:rPr>
            </w:pPr>
          </w:p>
        </w:tc>
        <w:tc>
          <w:tcPr>
            <w:tcW w:w="1276" w:type="pct"/>
            <w:vMerge/>
            <w:tcBorders>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6F2A77B0" w14:textId="62BCF409" w:rsidR="009F48C4" w:rsidRPr="005800C5" w:rsidRDefault="009F48C4" w:rsidP="005800C5">
            <w:pPr>
              <w:rPr>
                <w:rFonts w:asciiTheme="minorHAnsi" w:hAnsiTheme="minorHAnsi" w:cstheme="minorHAnsi"/>
                <w:lang w:val="fr-FR"/>
              </w:rPr>
            </w:pPr>
          </w:p>
        </w:tc>
        <w:tc>
          <w:tcPr>
            <w:tcW w:w="845" w:type="pct"/>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14:paraId="4B3E7F31" w14:textId="77777777" w:rsidR="009F48C4" w:rsidRPr="005800C5" w:rsidRDefault="009F48C4" w:rsidP="005800C5">
            <w:pPr>
              <w:rPr>
                <w:rFonts w:asciiTheme="minorHAnsi" w:hAnsiTheme="minorHAnsi" w:cstheme="minorHAnsi"/>
                <w:lang w:val="fr-FR"/>
              </w:rPr>
            </w:pPr>
            <w:r w:rsidRPr="005800C5">
              <w:rPr>
                <w:rFonts w:asciiTheme="minorHAnsi" w:hAnsiTheme="minorHAnsi" w:cstheme="minorHAnsi"/>
                <w:lang w:val="fr-FR"/>
              </w:rPr>
              <w:t>Pénalité d'un montant maximum de 1 % de sa masse salariale + interdiction de soumissionner aux marchés publics</w:t>
            </w:r>
          </w:p>
        </w:tc>
      </w:tr>
    </w:tbl>
    <w:p w14:paraId="4DDE133F" w14:textId="1C212E48" w:rsidR="001323BC" w:rsidRDefault="001323BC"/>
    <w:p w14:paraId="3FF933A2" w14:textId="563E9F86" w:rsidR="009F48C4" w:rsidRDefault="009F48C4"/>
    <w:p w14:paraId="3B7AB112" w14:textId="77777777" w:rsidR="009F48C4" w:rsidRDefault="009F48C4"/>
    <w:sectPr w:rsidR="009F48C4" w:rsidSect="005800C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C5"/>
    <w:rsid w:val="001323BC"/>
    <w:rsid w:val="005800C5"/>
    <w:rsid w:val="009F4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A9F1"/>
  <w15:chartTrackingRefBased/>
  <w15:docId w15:val="{A3C1F9E1-7ED0-4864-ADEC-75EFEA61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C5"/>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LE MEUR</dc:creator>
  <cp:keywords/>
  <dc:description/>
  <cp:lastModifiedBy>Jean-René LE MEUR</cp:lastModifiedBy>
  <cp:revision>1</cp:revision>
  <dcterms:created xsi:type="dcterms:W3CDTF">2021-01-29T13:46:00Z</dcterms:created>
  <dcterms:modified xsi:type="dcterms:W3CDTF">2021-01-29T14:03:00Z</dcterms:modified>
</cp:coreProperties>
</file>